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26-319</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175</w:t>
      </w:r>
    </w:p>
    <w:p>
      <w:pPr>
        <w:spacing w:before="0" w:after="0" w:line="480"/>
        <w:ind w:left="120"/>
        <w:jc w:val="center"/>
      </w:pPr>
      <w:r>
        <w:rPr>
          <w:rFonts w:ascii="Times New Roman" w:hAnsi="Times New Roman"/>
          <w:b w:val="false"/>
          <w:i w:val="false"/>
          <w:color w:val="000000"/>
          <w:sz w:val="24"/>
        </w:rPr>
        <w:t>“Abuse of Children”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232.67 through 232.70,  232.71B, 232.71C, 232.71D, 232.72 through 232.77, and 235A</w:t>
      </w:r>
    </w:p>
    <w:p>
      <w:pPr>
        <w:spacing w:before="0" w:after="0" w:line="480"/>
        <w:ind w:left="120"/>
        <w:jc w:val="both"/>
      </w:pPr>
      <w:r>
        <w:rPr>
          <w:rFonts w:ascii="Times New Roman" w:hAnsi="Times New Roman"/>
          <w:b w:val="false"/>
          <w:i w:val="false"/>
          <w:color w:val="000000"/>
          <w:sz w:val="24"/>
        </w:rPr>
        <w:t>State or federal law(s) implemented by the rulemaking: Iowa Code sections 232.67 through 232.70, 232.71B, 232.71C, 232.71D, 232.72 through 232.77; Iowa Code chapter 235A; and 2026 Iowa Acts, Senate File 2416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219 881 050 919 125</w:t>
            </w:r>
            <w:r>
              <w:br/>
            </w:r>
            <w:r>
              <w:rPr>
                <w:rFonts w:ascii="Times New Roman" w:hAnsi="Times New Roman"/>
                <w:b w:val="false"/>
                <w:i w:val="false"/>
                <w:color w:val="000000"/>
                <w:sz w:val="14"/>
              </w:rPr>
              <w:t>Passcode: DW7fd9aw</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outlines the procedures required by the Iowa Code for accepting reports of child abuse, assessing those reports, and taking necessary steps to ensure a reported child’s safety. Protection is provided through encouraging the reporting of suspected cases of abuse, conducting a thorough and prompt assessment of the reports, and providing rehabilitative services to abused children and their families.</w:t>
      </w:r>
    </w:p>
    <w:p>
      <w:pPr>
        <w:spacing w:before="0" w:after="0" w:line="480"/>
        <w:ind w:left="120"/>
        <w:jc w:val="both"/>
      </w:pPr>
      <w:r>
        <w:rPr>
          <w:rFonts w:ascii="Times New Roman" w:hAnsi="Times New Roman"/>
          <w:b w:val="false"/>
          <w:i w:val="false"/>
          <w:color w:val="000000"/>
          <w:sz w:val="24"/>
        </w:rPr>
        <w:t>    This proposed chapter was reviewed pursuant to Executive Order 10. As a result of that review, the Department: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Removed reserved rules and renumbered remaining rules;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language in rule 441—175.2(232) to describe the safety plans developed by the Department that identify immediate actions to keep a child safe;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Revised the requirement that the Department observe and evaluate the child subject of reported abuse within one hour if there is an immediate threat to the child’s safety. Paragraph 175.6(1)“b” now requires that reasonable efforts be made to observe the alleged child victim and evaluate the child’s safety within 24 hours of receipt of the report of suspected child abuse. The proposed change is not about delaying responses to children who are in danger, but rather removing a one-hour physical response requirement as the mechanism for ensuring safety. Iowa Code section 232.70(3) already mandates that child abuse reporters make a report to law enforcement when they believe that immediate protection is advisable. In an actual emergency, law enforcement and emergency medical services may be capable of reaching the child far sooner than a child protection worker traveling across a large service area. The expectation remains that when a child is in imminent danger that immediate action and coordination with law enforcement occurs.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Removed language surrounding referrals to community care organizations. Community care referrals were discontinued in 2020 and replaced with referrals to family-centered services under 441—Chapter 172.</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Removed language regarding procedures for requesting information for research. This process is covered by the Department’s rules on fair information practices in 441—Chapter 2505.</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Those tasked with the intake and assessment of suspected child abuse reports will benefit from updated rules, ultimately benefiting the safety and well-being of children who may be experiencing abuse.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not expected to be a quantitative impact from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Those tasked with receiving and assessing suspected reports of child abuse will benefit from the guidance provided in these proposed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required by Iowa Code chapter 232.</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175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175</w:t>
      </w:r>
    </w:p>
    <w:p>
      <w:pPr>
        <w:spacing w:before="0" w:after="0" w:line="480"/>
        <w:ind w:left="120"/>
        <w:jc w:val="center"/>
      </w:pPr>
      <w:r>
        <w:rPr>
          <w:rFonts w:ascii="Times New Roman" w:hAnsi="Times New Roman"/>
          <w:b w:val="false"/>
          <w:i w:val="false"/>
          <w:color w:val="000000"/>
          <w:sz w:val="21"/>
        </w:rPr>
        <w:t>ABUSE OF CHILDREN</w:t>
      </w:r>
    </w:p>
    <w:p>
      <w:pPr>
        <w:spacing w:before="0" w:after="0" w:line="480"/>
        <w:ind w:left="120"/>
        <w:jc w:val="both"/>
      </w:pPr>
      <w:r>
        <w:rPr>
          <w:rFonts w:ascii="Times New Roman" w:hAnsi="Times New Roman"/>
          <w:b/>
          <w:i w:val="false"/>
          <w:color w:val="000000"/>
          <w:sz w:val="24"/>
        </w:rPr>
        <w:t>441—175.1</w:t>
      </w:r>
      <w:r>
        <w:rPr>
          <w:rFonts w:ascii="Times New Roman" w:hAnsi="Times New Roman"/>
          <w:b/>
          <w:i w:val="false"/>
          <w:color w:val="000000"/>
          <w:sz w:val="24"/>
        </w:rPr>
        <w:t xml:space="preserve">(232,235A)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“Allegation”</w:t>
      </w:r>
      <w:r>
        <w:rPr>
          <w:rFonts w:ascii="Times New Roman" w:hAnsi="Times New Roman"/>
          <w:b w:val="false"/>
          <w:i/>
          <w:color w:val="000000"/>
          <w:sz w:val="24"/>
          <w:u w:val="single"/>
        </w:rPr>
        <w:t> </w:t>
      </w:r>
      <w:r>
        <w:rPr>
          <w:rFonts w:ascii="Times New Roman" w:hAnsi="Times New Roman"/>
          <w:b w:val="false"/>
          <w:i w:val="false"/>
          <w:color w:val="000000"/>
          <w:sz w:val="24"/>
        </w:rPr>
        <w:t>means a statement setting forth a condition or circumstance yet to be proven.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232.68(5)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 intake”</w:t>
      </w:r>
      <w:r>
        <w:rPr>
          <w:rFonts w:ascii="Times New Roman" w:hAnsi="Times New Roman"/>
          <w:b w:val="false"/>
          <w:i/>
          <w:color w:val="000000"/>
          <w:sz w:val="24"/>
          <w:u w:val="single"/>
        </w:rPr>
        <w:t> </w:t>
      </w:r>
      <w:r>
        <w:rPr>
          <w:rFonts w:ascii="Times New Roman" w:hAnsi="Times New Roman"/>
          <w:b w:val="false"/>
          <w:i w:val="false"/>
          <w:color w:val="000000"/>
          <w:sz w:val="24"/>
        </w:rPr>
        <w:t>means the process by which the department receives and records a report of suspected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“Caretaker”</w:t>
      </w:r>
      <w:r>
        <w:rPr>
          <w:rFonts w:ascii="Times New Roman" w:hAnsi="Times New Roman"/>
          <w:b w:val="false"/>
          <w:i/>
          <w:color w:val="000000"/>
          <w:sz w:val="24"/>
          <w:u w:val="single"/>
        </w:rPr>
        <w:t> </w:t>
      </w:r>
      <w:r>
        <w:rPr>
          <w:rFonts w:ascii="Times New Roman" w:hAnsi="Times New Roman"/>
          <w:b w:val="false"/>
          <w:i w:val="false"/>
          <w:color w:val="000000"/>
          <w:sz w:val="24"/>
        </w:rPr>
        <w:t>means a person responsible for the care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w:t>
      </w:r>
      <w:r>
        <w:rPr>
          <w:rFonts w:ascii="Times New Roman" w:hAnsi="Times New Roman"/>
          <w:b w:val="false"/>
          <w:i/>
          <w:color w:val="000000"/>
          <w:sz w:val="24"/>
          <w:u w:val="single"/>
        </w:rPr>
        <w:t> </w:t>
      </w:r>
      <w:r>
        <w:rPr>
          <w:rFonts w:ascii="Times New Roman" w:hAnsi="Times New Roman"/>
          <w:b w:val="false"/>
          <w:i w:val="false"/>
          <w:color w:val="000000"/>
          <w:sz w:val="24"/>
        </w:rPr>
        <w:t>means a report of suspected child abuse that has been accepted for assessment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abuse assessment”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set forth in Iowa Code section </w:t>
      </w:r>
      <w:hyperlink r:id="rId6">
        <w:r>
          <w:rPr>
            <w:rStyle w:val="Hyperlink"/>
            <w:rFonts w:ascii="Times New Roman" w:hAnsi="Times New Roman"/>
            <w:b w:val="false"/>
            <w:i w:val="false"/>
            <w:color w:val="000000"/>
            <w:sz w:val="24"/>
          </w:rPr>
          <w:t>232.68(5)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“Custodial parent(s)”</w:t>
      </w:r>
      <w:r>
        <w:rPr>
          <w:rFonts w:ascii="Times New Roman" w:hAnsi="Times New Roman"/>
          <w:b w:val="false"/>
          <w:i/>
          <w:color w:val="000000"/>
          <w:sz w:val="24"/>
          <w:u w:val="single"/>
        </w:rPr>
        <w:t> </w:t>
      </w:r>
      <w:r>
        <w:rPr>
          <w:rFonts w:ascii="Times New Roman" w:hAnsi="Times New Roman"/>
          <w:b w:val="false"/>
          <w:i w:val="false"/>
          <w:color w:val="000000"/>
          <w:sz w:val="24"/>
        </w:rPr>
        <w:t>means a parent who has legal custody or physical care of the child and includes the parent with whom the child is residing at the relevant time of department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“Denial of critical care”</w:t>
      </w:r>
      <w:r>
        <w:rPr>
          <w:rFonts w:ascii="Times New Roman" w:hAnsi="Times New Roman"/>
          <w:b w:val="false"/>
          <w:i/>
          <w:color w:val="000000"/>
          <w:sz w:val="24"/>
          <w:u w:val="single"/>
        </w:rPr>
        <w:t> </w:t>
      </w:r>
      <w:r>
        <w:rPr>
          <w:rFonts w:ascii="Times New Roman" w:hAnsi="Times New Roman"/>
          <w:b w:val="false"/>
          <w:i w:val="false"/>
          <w:color w:val="000000"/>
          <w:sz w:val="24"/>
        </w:rPr>
        <w:t>means the failure on the part of a person responsible for the care of a child to provide for the adequate food, shelter, clothing, medical or mental health treatment, supervision or other care necessary for the child’s health and welfare when financially able to do so, or when offered financial or other reasonable means to do so, and means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Failure to provide adequate food and nutrition to the extent that there is danger of the child suffering injury or death.</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Failure to provide adequate shelter to the extent that there is danger of the child suffering injury or death.</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Failure to provide adequate clothing to the extent that there is danger of the child suffering injury or death.</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Failure to provide adequate health care to the extent that there is danger of the child suffering injury or death. A parent or guardian legitimately practicing religious beliefs who does not provide specified medical treatment for a child for that reason alone will not be considered abusing the child and will not be placed on the child abuse registry. However, a court may order that medical service be provided where the child’s health requires it.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Failure to provide the mental health care necessary to adequately treat an observable and substantial impairment in the child’s ability to function.</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Gross failure to meet the emotional needs of the child necessary for normal development.</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Failure to provide for the adequate supervision of the child that a reasonable and prudent person would provide under similar facts and circumstances when the failure results in direct harm or creates a risk of harm to the child.</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Failure to respond to the infant’s life-threatening conditions (also known as withholding medically indicated treatment) by providing treatment (including appropriate nutrition, hydration and medication) that in the treating physician’s reasonable medical judgment will be most likely to be effective in ameliorating or correcting all conditions, except that the term does not include the failure to provide treatment (other than appropriate nutrition, hydration, or medication) to an infant when, in the treating physician’s reasonable medical judgment any of the following circumstances apply: the infant is chronically and irreversibly comatose; the provision of the treatment would merely prolong dying, not be effective in ameliorating or correcting all of the infant’s life-threatening conditions, or otherwise be futile in terms of the survival of the infant; the provision of the treatment would be virtually futile in terms of the survival of the infant and the treatment itself under the circumstances would be inhumane.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 providing care to a child”</w:t>
      </w:r>
      <w:r>
        <w:rPr>
          <w:rFonts w:ascii="Times New Roman" w:hAnsi="Times New Roman"/>
          <w:b w:val="false"/>
          <w:i/>
          <w:color w:val="000000"/>
          <w:sz w:val="24"/>
          <w:u w:val="single"/>
        </w:rPr>
        <w:t> </w:t>
      </w:r>
      <w:r>
        <w:rPr>
          <w:rFonts w:ascii="Times New Roman" w:hAnsi="Times New Roman"/>
          <w:b w:val="false"/>
          <w:i w:val="false"/>
          <w:color w:val="000000"/>
          <w:sz w:val="24"/>
        </w:rPr>
        <w:t>means any public or private facility, including an institution, hospital, health care facility, intermediate care facility for persons with an intellectual disability, residential care facility for persons with an intellectual disability, skilled nursing facility, group home, mental health facility, residential treatment facility, shelter care facility, detention facility, child care facility that includes licensed day care centers, all registered family and group day care homes, and licensed family foster homes. A public or private school is not a facility providing care to a child, unless it provides overnight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 assessment”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232.68(5)</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“Home”</w:t>
      </w:r>
      <w:r>
        <w:rPr>
          <w:rFonts w:ascii="Times New Roman" w:hAnsi="Times New Roman"/>
          <w:b w:val="false"/>
          <w:i/>
          <w:color w:val="000000"/>
          <w:sz w:val="24"/>
          <w:u w:val="single"/>
        </w:rPr>
        <w:t> </w:t>
      </w:r>
      <w:r>
        <w:rPr>
          <w:rFonts w:ascii="Times New Roman" w:hAnsi="Times New Roman"/>
          <w:b w:val="false"/>
          <w:i w:val="false"/>
          <w:color w:val="000000"/>
          <w:sz w:val="24"/>
        </w:rPr>
        <w:t>means a permanent or temporary structure where one resides, including a licensed foster family home. For the purpose of this chapter, “home” will not be construed to include any public or private facility, such as an institution, hospital, health care facility, intermediate care facility for persons with an intellectual disability, residential care facility for persons with an intellectual disability, skilled nursing facility, group care, mental health facility, residential treatment facility, shelter care facility, detention facility, licensed day care center, or child foster care provided by an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“Illegal drug”</w:t>
      </w:r>
      <w:r>
        <w:rPr>
          <w:rFonts w:ascii="Times New Roman" w:hAnsi="Times New Roman"/>
          <w:b w:val="false"/>
          <w:i/>
          <w:color w:val="000000"/>
          <w:sz w:val="24"/>
          <w:u w:val="single"/>
        </w:rPr>
        <w:t> </w:t>
      </w:r>
      <w:r>
        <w:rPr>
          <w:rFonts w:ascii="Times New Roman" w:hAnsi="Times New Roman"/>
          <w:b w:val="false"/>
          <w:i w:val="false"/>
          <w:color w:val="000000"/>
          <w:sz w:val="24"/>
        </w:rPr>
        <w:t>means any substance prohibited by law, or combinations or derivatives of illegal drugs that were not prescribed by a health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“Immediate threat”</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“imminent danger”</w:t>
      </w:r>
      <w:r>
        <w:rPr>
          <w:rFonts w:ascii="Times New Roman" w:hAnsi="Times New Roman"/>
          <w:b w:val="false"/>
          <w:i/>
          <w:color w:val="000000"/>
          <w:sz w:val="24"/>
          <w:u w:val="single"/>
        </w:rPr>
        <w:t> </w:t>
      </w:r>
      <w:r>
        <w:rPr>
          <w:rFonts w:ascii="Times New Roman" w:hAnsi="Times New Roman"/>
          <w:b w:val="false"/>
          <w:i w:val="false"/>
          <w:color w:val="000000"/>
          <w:sz w:val="24"/>
        </w:rPr>
        <w:t>means conditions that, if no response were made, would be more likely than not to result in sexual abuse, injury or death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“Infant,”</w:t>
      </w:r>
      <w:r>
        <w:rPr>
          <w:rFonts w:ascii="Times New Roman" w:hAnsi="Times New Roman"/>
          <w:b w:val="false"/>
          <w:i/>
          <w:color w:val="000000"/>
          <w:sz w:val="24"/>
          <w:u w:val="single"/>
        </w:rPr>
        <w:t> </w:t>
      </w:r>
      <w:r>
        <w:rPr>
          <w:rFonts w:ascii="Times New Roman" w:hAnsi="Times New Roman"/>
          <w:b w:val="false"/>
          <w:i w:val="false"/>
          <w:color w:val="000000"/>
          <w:sz w:val="24"/>
        </w:rPr>
        <w:t>as used in the definition of “denial of critical care,” numbered paragraph “8,” means a child less than one year of age or an infant older than one year of age who has been hospitalized continuously since birth, who was born extremely prematurely, or who has a long-term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“Nonaccidental physical injury”</w:t>
      </w:r>
      <w:r>
        <w:rPr>
          <w:rFonts w:ascii="Times New Roman" w:hAnsi="Times New Roman"/>
          <w:b w:val="false"/>
          <w:i/>
          <w:color w:val="000000"/>
          <w:sz w:val="24"/>
          <w:u w:val="single"/>
        </w:rPr>
        <w:t> </w:t>
      </w:r>
      <w:r>
        <w:rPr>
          <w:rFonts w:ascii="Times New Roman" w:hAnsi="Times New Roman"/>
          <w:b w:val="false"/>
          <w:i w:val="false"/>
          <w:color w:val="000000"/>
          <w:sz w:val="24"/>
        </w:rPr>
        <w:t>means an injury that was the natural and probable result of a caretaker’s actions that the caretaker could have reasonably foreseen, or that a reasonable person could have foreseen in similar circumstances, or that resulted from an act administered for the specific purpose of causing an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“Open service case”</w:t>
      </w:r>
      <w:r>
        <w:rPr>
          <w:rFonts w:ascii="Times New Roman" w:hAnsi="Times New Roman"/>
          <w:b w:val="false"/>
          <w:i/>
          <w:color w:val="000000"/>
          <w:sz w:val="24"/>
          <w:u w:val="single"/>
        </w:rPr>
        <w:t> </w:t>
      </w:r>
      <w:r>
        <w:rPr>
          <w:rFonts w:ascii="Times New Roman" w:hAnsi="Times New Roman"/>
          <w:b w:val="false"/>
          <w:i w:val="false"/>
          <w:color w:val="000000"/>
          <w:sz w:val="24"/>
        </w:rPr>
        <w:t>means a child welfare case that the department has opened for ongoing services and assigned to department staff for ongoing case management following a child protective assessment or a child in need of assistance adjudication that remains open until the department achieves case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injury”</w:t>
      </w:r>
      <w:r>
        <w:rPr>
          <w:rFonts w:ascii="Times New Roman" w:hAnsi="Times New Roman"/>
          <w:b w:val="false"/>
          <w:i/>
          <w:color w:val="000000"/>
          <w:sz w:val="24"/>
          <w:u w:val="single"/>
        </w:rPr>
        <w:t> </w:t>
      </w:r>
      <w:r>
        <w:rPr>
          <w:rFonts w:ascii="Times New Roman" w:hAnsi="Times New Roman"/>
          <w:b w:val="false"/>
          <w:i w:val="false"/>
          <w:color w:val="000000"/>
          <w:sz w:val="24"/>
        </w:rPr>
        <w:t>means damage to any bodily tissue to the extent that the tissue must undergo a healing process in order to be restored to a sound and healthy condition or damage to any bodily tissue that results in the death of the person who has sustained the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“Rejected intake”</w:t>
      </w:r>
      <w:r>
        <w:rPr>
          <w:rFonts w:ascii="Times New Roman" w:hAnsi="Times New Roman"/>
          <w:b w:val="false"/>
          <w:i/>
          <w:color w:val="000000"/>
          <w:sz w:val="24"/>
          <w:u w:val="single"/>
        </w:rPr>
        <w:t> </w:t>
      </w:r>
      <w:r>
        <w:rPr>
          <w:rFonts w:ascii="Times New Roman" w:hAnsi="Times New Roman"/>
          <w:b w:val="false"/>
          <w:i w:val="false"/>
          <w:color w:val="000000"/>
          <w:sz w:val="24"/>
        </w:rPr>
        <w:t>means a report of suspected child abuse that has not been accepted for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“Reporter”</w:t>
      </w:r>
      <w:r>
        <w:rPr>
          <w:rFonts w:ascii="Times New Roman" w:hAnsi="Times New Roman"/>
          <w:b w:val="false"/>
          <w:i/>
          <w:color w:val="000000"/>
          <w:sz w:val="24"/>
          <w:u w:val="single"/>
        </w:rPr>
        <w:t> </w:t>
      </w:r>
      <w:r>
        <w:rPr>
          <w:rFonts w:ascii="Times New Roman" w:hAnsi="Times New Roman"/>
          <w:b w:val="false"/>
          <w:i w:val="false"/>
          <w:color w:val="000000"/>
          <w:sz w:val="24"/>
        </w:rPr>
        <w:t>means the person making a verbal or written statement to the department alleging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“Report of suspected child abuse”</w:t>
      </w:r>
      <w:r>
        <w:rPr>
          <w:rFonts w:ascii="Times New Roman" w:hAnsi="Times New Roman"/>
          <w:b w:val="false"/>
          <w:i/>
          <w:color w:val="000000"/>
          <w:sz w:val="24"/>
          <w:u w:val="single"/>
        </w:rPr>
        <w:t> </w:t>
      </w:r>
      <w:r>
        <w:rPr>
          <w:rFonts w:ascii="Times New Roman" w:hAnsi="Times New Roman"/>
          <w:b w:val="false"/>
          <w:i w:val="false"/>
          <w:color w:val="000000"/>
          <w:sz w:val="24"/>
        </w:rPr>
        <w:t>means a verbal or written statement made to the department by a person who suspects that child abuse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“resides”</w:t>
      </w:r>
      <w:r>
        <w:rPr>
          <w:rFonts w:ascii="Times New Roman" w:hAnsi="Times New Roman"/>
          <w:b w:val="false"/>
          <w:i/>
          <w:color w:val="000000"/>
          <w:sz w:val="24"/>
          <w:u w:val="single"/>
        </w:rPr>
        <w:t> </w:t>
      </w:r>
      <w:r>
        <w:rPr>
          <w:rFonts w:ascii="Times New Roman" w:hAnsi="Times New Roman"/>
          <w:b w:val="false"/>
          <w:i w:val="false"/>
          <w:color w:val="000000"/>
          <w:sz w:val="24"/>
        </w:rPr>
        <w:t>means to habitually sleep or live. A person’s subjective intent as to where the person resides is not relevant.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“Safety plan”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232.79B(1)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“Sex trafficking”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232.68(10)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“Sex trafficking victim”</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232.68(11)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“Subject of a report of child abuse”</w:t>
      </w:r>
      <w:r>
        <w:rPr>
          <w:rFonts w:ascii="Times New Roman" w:hAnsi="Times New Roman"/>
          <w:b w:val="false"/>
          <w:i/>
          <w:color w:val="000000"/>
          <w:sz w:val="24"/>
          <w:u w:val="single"/>
        </w:rPr>
        <w:t> </w:t>
      </w:r>
      <w:r>
        <w:rPr>
          <w:rFonts w:ascii="Times New Roman" w:hAnsi="Times New Roman"/>
          <w:b w:val="false"/>
          <w:i w:val="false"/>
          <w:color w:val="000000"/>
          <w:sz w:val="24"/>
        </w:rPr>
        <w:t>means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child named in a report as having been abused, or the child’s attorney or guardian ad litem.</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parent or the attorney for the parent of a child named in a child abuse assessment summary as having been abused.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guardian or legal custodian, or that person’s attorney, of a child named in a child abuse assessment summary as having been abused.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A person or the attorney for the person named in a child abuse assessment summary as having abused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“Supervision”</w:t>
      </w:r>
      <w:r>
        <w:rPr>
          <w:rFonts w:ascii="Times New Roman" w:hAnsi="Times New Roman"/>
          <w:b w:val="false"/>
          <w:i/>
          <w:color w:val="000000"/>
          <w:sz w:val="24"/>
          <w:u w:val="single"/>
        </w:rPr>
        <w:t> </w:t>
      </w:r>
      <w:r>
        <w:rPr>
          <w:rFonts w:ascii="Times New Roman" w:hAnsi="Times New Roman"/>
          <w:b w:val="false"/>
          <w:i w:val="false"/>
          <w:color w:val="000000"/>
          <w:sz w:val="24"/>
        </w:rPr>
        <w:t>means supervision that a reasonable and prudent person would exercise under similar facts and circumstances, but in no event shall the person place a child in a situation that may endanger the child’s life or health, or cruelly or unduly confine the child. Dangerous operation of a motor vehicle is a failure to provide proper supervision when the person responsible for the care of a child is driving recklessly, or driving while intoxicated with the child in the motor vehicle. The failure to restrain a child in a motor vehicle does not, by itself, constitute a cause to assess a child abuse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“Unduly”</w:t>
      </w:r>
      <w:r>
        <w:rPr>
          <w:rFonts w:ascii="Times New Roman" w:hAnsi="Times New Roman"/>
          <w:b w:val="false"/>
          <w:i/>
          <w:color w:val="000000"/>
          <w:sz w:val="24"/>
          <w:u w:val="single"/>
        </w:rPr>
        <w:t> </w:t>
      </w:r>
      <w:r>
        <w:rPr>
          <w:rFonts w:ascii="Times New Roman" w:hAnsi="Times New Roman"/>
          <w:b w:val="false"/>
          <w:i w:val="false"/>
          <w:color w:val="000000"/>
          <w:sz w:val="24"/>
        </w:rPr>
        <w:t>means improper or unjust, or excessive.</w:t>
      </w:r>
    </w:p>
    <w:p>
      <w:pPr>
        <w:spacing w:before="0" w:after="0" w:line="480"/>
        <w:ind w:left="120"/>
        <w:jc w:val="both"/>
      </w:pPr>
      <w:r>
        <w:rPr>
          <w:rFonts w:ascii="Times New Roman" w:hAnsi="Times New Roman"/>
          <w:b/>
          <w:i w:val="false"/>
          <w:color w:val="000000"/>
          <w:sz w:val="24"/>
        </w:rPr>
        <w:t>441—175.2</w:t>
      </w:r>
      <w:r>
        <w:rPr>
          <w:rFonts w:ascii="Times New Roman" w:hAnsi="Times New Roman"/>
          <w:b/>
          <w:i w:val="false"/>
          <w:color w:val="000000"/>
          <w:sz w:val="24"/>
        </w:rPr>
        <w:t xml:space="preserve">(232) </w:t>
      </w:r>
      <w:r>
        <w:rPr>
          <w:rFonts w:ascii="Times New Roman" w:hAnsi="Times New Roman"/>
          <w:b/>
          <w:i w:val="false"/>
          <w:color w:val="000000"/>
          <w:sz w:val="24"/>
        </w:rPr>
        <w:t xml:space="preserve">Safety plans.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175.2(1)</w:t>
      </w:r>
      <w:r>
        <w:rPr>
          <w:rFonts w:ascii="Times New Roman" w:hAnsi="Times New Roman"/>
          <w:b w:val="false"/>
          <w:i w:val="false"/>
          <w:color w:val="000000"/>
          <w:sz w:val="24"/>
        </w:rPr>
        <w:t> </w:t>
      </w:r>
      <w:r>
        <w:rPr>
          <w:rFonts w:ascii="Times New Roman" w:hAnsi="Times New Roman"/>
          <w:b w:val="false"/>
          <w:i/>
          <w:color w:val="000000"/>
          <w:sz w:val="24"/>
        </w:rPr>
        <w:t xml:space="preserve">Use cases. </w:t>
      </w:r>
      <w:r>
        <w:rPr>
          <w:rFonts w:ascii="Times New Roman" w:hAnsi="Times New Roman"/>
          <w:b w:val="false"/>
          <w:i w:val="false"/>
          <w:color w:val="000000"/>
          <w:sz w:val="24"/>
        </w:rPr>
        <w:t>The department may enter into a safety plan with a family when the department determines that potential harm to a child may be mitigated by the development of a safety plan. A safety plan may be used when safety interventions and protective measures are necessary to manage imminent or impending danger, and the plan is developed to identify immediate actions to keep the child safe.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175.2(2)</w:t>
      </w:r>
      <w:r>
        <w:rPr>
          <w:rFonts w:ascii="Times New Roman" w:hAnsi="Times New Roman"/>
          <w:b w:val="false"/>
          <w:i w:val="false"/>
          <w:color w:val="000000"/>
          <w:sz w:val="24"/>
        </w:rPr>
        <w:t> </w:t>
      </w:r>
      <w:r>
        <w:rPr>
          <w:rFonts w:ascii="Times New Roman" w:hAnsi="Times New Roman"/>
          <w:b w:val="false"/>
          <w:i/>
          <w:color w:val="000000"/>
          <w:sz w:val="24"/>
        </w:rPr>
        <w:t xml:space="preserve">Not a removal. </w:t>
      </w:r>
      <w:r>
        <w:rPr>
          <w:rFonts w:ascii="Times New Roman" w:hAnsi="Times New Roman"/>
          <w:b w:val="false"/>
          <w:i w:val="false"/>
          <w:color w:val="000000"/>
          <w:sz w:val="24"/>
        </w:rPr>
        <w:t>Absent a court order placing the child with someone other than a parent or guardian, a safety plan shall not be construed as a removal from parental or guardian custody.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Parents, guardians, and caretakers are encouraged to work with the department to identify appropriate strategies to ensure the child’s safety in the home. Strategies may include bringing a safe and appropriate person into the home or identifying an alternative caregiver when safety cannot be assured within the family’s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Entering into a safety plan will not, by itself, transfer custody, guardianship, or legal rights away from the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175.2(3)</w:t>
      </w:r>
      <w:r>
        <w:rPr>
          <w:rFonts w:ascii="Times New Roman" w:hAnsi="Times New Roman"/>
          <w:b w:val="false"/>
          <w:i w:val="false"/>
          <w:color w:val="000000"/>
          <w:sz w:val="24"/>
        </w:rPr>
        <w:t> </w:t>
      </w:r>
      <w:r>
        <w:rPr>
          <w:rFonts w:ascii="Times New Roman" w:hAnsi="Times New Roman"/>
          <w:b w:val="false"/>
          <w:i/>
          <w:color w:val="000000"/>
          <w:sz w:val="24"/>
        </w:rPr>
        <w:t xml:space="preserve">Time frames. </w:t>
      </w:r>
      <w:r>
        <w:rPr>
          <w:rFonts w:ascii="Times New Roman" w:hAnsi="Times New Roman"/>
          <w:b w:val="false"/>
          <w:i w:val="false"/>
          <w:color w:val="000000"/>
          <w:sz w:val="24"/>
        </w:rPr>
        <w:t>A safety plan must be reviewed within 20 business days from the date of a parent or guardian’s signature unless the plan ends earlier. A date for review must be included on the safety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safety plan that places a child in the temporary care of someone other than the parent or guardian must be reviewed with the county attorney or the attorney general’s office no later than 45 days from the date the safety plan is implemented.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safety plan shall be implemented for longer than 90 days unless reviewed and approved by the county attorney or attorney general’s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175.2(4)</w:t>
      </w:r>
      <w:r>
        <w:rPr>
          <w:rFonts w:ascii="Times New Roman" w:hAnsi="Times New Roman"/>
          <w:b w:val="false"/>
          <w:i w:val="false"/>
          <w:color w:val="000000"/>
          <w:sz w:val="24"/>
        </w:rPr>
        <w:t> </w:t>
      </w:r>
      <w:r>
        <w:rPr>
          <w:rFonts w:ascii="Times New Roman" w:hAnsi="Times New Roman"/>
          <w:b w:val="false"/>
          <w:i/>
          <w:color w:val="000000"/>
          <w:sz w:val="24"/>
        </w:rPr>
        <w:t xml:space="preserve">Safety plan required content. </w:t>
      </w:r>
      <w:r>
        <w:rPr>
          <w:rFonts w:ascii="Times New Roman" w:hAnsi="Times New Roman"/>
          <w:b w:val="false"/>
          <w:i w:val="false"/>
          <w:color w:val="000000"/>
          <w:sz w:val="24"/>
        </w:rPr>
        <w:t>A safety plan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safety concerns identified and the specific danger to the child’s well-being.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specific actions needed to address the danger and provide safety for the child, including who will do what, by when, and how the action will be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identity of all persons responsible for implementing or monitoring the plan, including informal supports, department staff, or service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175.2(5)</w:t>
      </w:r>
      <w:r>
        <w:rPr>
          <w:rFonts w:ascii="Times New Roman" w:hAnsi="Times New Roman"/>
          <w:b w:val="false"/>
          <w:i w:val="false"/>
          <w:color w:val="000000"/>
          <w:sz w:val="24"/>
        </w:rPr>
        <w:t> </w:t>
      </w:r>
      <w:r>
        <w:rPr>
          <w:rFonts w:ascii="Times New Roman" w:hAnsi="Times New Roman"/>
          <w:b w:val="false"/>
          <w:i/>
          <w:color w:val="000000"/>
          <w:sz w:val="24"/>
        </w:rPr>
        <w:t xml:space="preserve">Copies, documentation, and case records. </w:t>
      </w:r>
      <w:r>
        <w:rPr>
          <w:rFonts w:ascii="Times New Roman" w:hAnsi="Times New Roman"/>
          <w:b w:val="false"/>
          <w:i w:val="false"/>
          <w:color w:val="000000"/>
          <w:sz w:val="24"/>
        </w:rPr>
        <w:t>The department will provide a copy of the safety plan to each parent, guardian, caretaker and any other person involved in implementing or monitoring the safety plan. The department will maintain the safety plan and any modifications to a safety plan in the case record under the relevant assessment or service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175.2(6)</w:t>
      </w:r>
      <w:r>
        <w:rPr>
          <w:rFonts w:ascii="Times New Roman" w:hAnsi="Times New Roman"/>
          <w:b w:val="false"/>
          <w:i w:val="false"/>
          <w:color w:val="000000"/>
          <w:sz w:val="24"/>
        </w:rPr>
        <w:t> </w:t>
      </w:r>
      <w:r>
        <w:rPr>
          <w:rFonts w:ascii="Times New Roman" w:hAnsi="Times New Roman"/>
          <w:b w:val="false"/>
          <w:i/>
          <w:color w:val="000000"/>
          <w:sz w:val="24"/>
        </w:rPr>
        <w:t xml:space="preserve">Modification, withdrawal, and escalation. </w:t>
      </w:r>
      <w:r>
        <w:rPr>
          <w:rFonts w:ascii="Times New Roman" w:hAnsi="Times New Roman"/>
          <w:b w:val="false"/>
          <w:i w:val="false"/>
          <w:color w:val="000000"/>
          <w:sz w:val="24"/>
        </w:rPr>
        <w:t>A safety plan may be reviewed or modified at any time due to a change in circumstance.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parent or guardian may withdraw consent to the safety plan at any time by notifying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at any time a parent or guardian is unable or unwilling to implement a safety plan, or imminent or impending danger to a child cannot be adequately addressed by a safety plan, the department may take necessary protective action, including requesting court involvement and possible removal of the child from the home when it is determined necessary to protect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175.2(7)</w:t>
      </w:r>
      <w:r>
        <w:rPr>
          <w:rFonts w:ascii="Times New Roman" w:hAnsi="Times New Roman"/>
          <w:b w:val="false"/>
          <w:i w:val="false"/>
          <w:color w:val="000000"/>
          <w:sz w:val="24"/>
        </w:rPr>
        <w:t> </w:t>
      </w:r>
      <w:r>
        <w:rPr>
          <w:rFonts w:ascii="Times New Roman" w:hAnsi="Times New Roman"/>
          <w:b w:val="false"/>
          <w:i/>
          <w:color w:val="000000"/>
          <w:sz w:val="24"/>
        </w:rPr>
        <w:t xml:space="preserve">Duration and closure.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safety plan that occurs during a child protective assessment shall remain in effect until one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subsequent safety decision indicates the child is safe without a plan;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assessment closes;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initiates court action or obtains a court order that supersedes the safety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an assessment closes with a determination that an open service case will be initiated, a safety plan may be initiated at the close of the assessment. A safety plan initiated at the close of the assessment or during an open service case may remain in effect for up to 60 days from the date the safety plan is initiated.</w:t>
      </w:r>
    </w:p>
    <w:p>
      <w:pPr>
        <w:spacing w:before="0" w:after="0" w:line="480"/>
        <w:ind w:left="120"/>
        <w:jc w:val="both"/>
      </w:pPr>
      <w:r>
        <w:rPr>
          <w:rFonts w:ascii="Times New Roman" w:hAnsi="Times New Roman"/>
          <w:b/>
          <w:i w:val="false"/>
          <w:color w:val="000000"/>
          <w:sz w:val="24"/>
        </w:rPr>
        <w:t>441—175.3</w:t>
      </w:r>
      <w:r>
        <w:rPr>
          <w:rFonts w:ascii="Times New Roman" w:hAnsi="Times New Roman"/>
          <w:b/>
          <w:i w:val="false"/>
          <w:color w:val="000000"/>
          <w:sz w:val="24"/>
        </w:rPr>
        <w:t xml:space="preserve">(232) </w:t>
      </w:r>
      <w:r>
        <w:rPr>
          <w:rFonts w:ascii="Times New Roman" w:hAnsi="Times New Roman"/>
          <w:b/>
          <w:i w:val="false"/>
          <w:color w:val="000000"/>
          <w:sz w:val="24"/>
        </w:rPr>
        <w:t xml:space="preserve">Receipt of a report of suspected child abuse. </w:t>
      </w:r>
      <w:r>
        <w:rPr>
          <w:rFonts w:ascii="Times New Roman" w:hAnsi="Times New Roman"/>
          <w:b w:val="false"/>
          <w:i w:val="false"/>
          <w:color w:val="000000"/>
          <w:sz w:val="24"/>
        </w:rPr>
        <w:t>Reports of suspected child abuse will be received by local department offices, the central abuse registry, or the child abuse hotline.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175.3(1)</w:t>
      </w:r>
      <w:r>
        <w:rPr>
          <w:rFonts w:ascii="Times New Roman" w:hAnsi="Times New Roman"/>
          <w:b w:val="false"/>
          <w:i w:val="false"/>
          <w:color w:val="000000"/>
          <w:sz w:val="24"/>
        </w:rPr>
        <w:t> </w:t>
      </w:r>
      <w:r>
        <w:rPr>
          <w:rFonts w:ascii="Times New Roman" w:hAnsi="Times New Roman"/>
          <w:b w:val="false"/>
          <w:i w:val="false"/>
          <w:color w:val="000000"/>
          <w:sz w:val="24"/>
        </w:rPr>
        <w:t xml:space="preserve">Any report made to the department that alleges child abuse, as defined in Iowa Code section </w:t>
      </w:r>
      <w:hyperlink r:id="rId11">
        <w:r>
          <w:rPr>
            <w:rStyle w:val="Hyperlink"/>
            <w:rFonts w:ascii="Times New Roman" w:hAnsi="Times New Roman"/>
            <w:b w:val="false"/>
            <w:i w:val="false"/>
            <w:color w:val="000000"/>
            <w:sz w:val="24"/>
          </w:rPr>
          <w:t>232.68</w:t>
        </w:r>
      </w:hyperlink>
      <w:r>
        <w:rPr>
          <w:rFonts w:ascii="Times New Roman" w:hAnsi="Times New Roman"/>
          <w:b w:val="false"/>
          <w:i w:val="false"/>
          <w:color w:val="000000"/>
          <w:sz w:val="24"/>
        </w:rPr>
        <w:t xml:space="preserve">, or constitutes a complaint that a child is a child in need of assistance, as defined in Iowa Code section </w:t>
      </w:r>
      <w:hyperlink r:id="rId12">
        <w:r>
          <w:rPr>
            <w:rStyle w:val="Hyperlink"/>
            <w:rFonts w:ascii="Times New Roman" w:hAnsi="Times New Roman"/>
            <w:b w:val="false"/>
            <w:i w:val="false"/>
            <w:color w:val="000000"/>
            <w:sz w:val="24"/>
          </w:rPr>
          <w:t>232.2(8)</w:t>
        </w:r>
      </w:hyperlink>
      <w:r>
        <w:rPr>
          <w:rFonts w:ascii="Times New Roman" w:hAnsi="Times New Roman"/>
          <w:b w:val="false"/>
          <w:i w:val="false"/>
          <w:color w:val="000000"/>
          <w:sz w:val="24"/>
        </w:rPr>
        <w:t>, will be accepted for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175.3(2)</w:t>
      </w:r>
      <w:r>
        <w:rPr>
          <w:rFonts w:ascii="Times New Roman" w:hAnsi="Times New Roman"/>
          <w:b w:val="false"/>
          <w:i w:val="false"/>
          <w:color w:val="000000"/>
          <w:sz w:val="24"/>
        </w:rPr>
        <w:t> </w:t>
      </w:r>
      <w:r>
        <w:rPr>
          <w:rFonts w:ascii="Times New Roman" w:hAnsi="Times New Roman"/>
          <w:b w:val="false"/>
          <w:i w:val="false"/>
          <w:color w:val="000000"/>
          <w:sz w:val="24"/>
        </w:rPr>
        <w:t>Reports of suspected child abuse that do not meet the legal definition of child abuse will become rejected intakes.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report of suspected child abuse does not meet the legal definition of child abuse or is accepted as a family assessment, but a criminal act harming a child is alleged, the department will immediately refer the matter to the appropriate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report constitutes an allegation of child sexual abuse as outlined in Iowa Code section </w:t>
      </w:r>
      <w:hyperlink r:id="rId13">
        <w:r>
          <w:rPr>
            <w:rStyle w:val="Hyperlink"/>
            <w:rFonts w:ascii="Times New Roman" w:hAnsi="Times New Roman"/>
            <w:b w:val="false"/>
            <w:i w:val="false"/>
            <w:color w:val="000000"/>
            <w:sz w:val="24"/>
          </w:rPr>
          <w:t>232.68(2)</w:t>
        </w:r>
      </w:hyperlink>
      <w:r>
        <w:rPr>
          <w:rFonts w:ascii="Times New Roman" w:hAnsi="Times New Roman"/>
          <w:b w:val="false"/>
          <w:i/>
          <w:color w:val="000000"/>
          <w:sz w:val="24"/>
        </w:rPr>
        <w:t>“a”</w:t>
      </w:r>
      <w:r>
        <w:rPr>
          <w:rFonts w:ascii="Times New Roman" w:hAnsi="Times New Roman"/>
          <w:b w:val="false"/>
          <w:i w:val="false"/>
          <w:color w:val="000000"/>
          <w:sz w:val="24"/>
        </w:rPr>
        <w:t>(3) except that the suspected abuse resulted from the acts or omissions of a person who was not a caretaker or was not a person who resides in a home with the child, the department will refer the report to law enforcement as soon as practicable and follow up in writing within 72 hours of receiving the report.</w:t>
      </w:r>
    </w:p>
    <w:p>
      <w:pPr>
        <w:spacing w:before="0" w:after="0" w:line="480"/>
        <w:ind w:left="120"/>
        <w:jc w:val="both"/>
      </w:pPr>
      <w:r>
        <w:rPr>
          <w:rFonts w:ascii="Times New Roman" w:hAnsi="Times New Roman"/>
          <w:b/>
          <w:i w:val="false"/>
          <w:color w:val="000000"/>
          <w:sz w:val="24"/>
        </w:rPr>
        <w:t>441—175.4</w:t>
      </w:r>
      <w:r>
        <w:rPr>
          <w:rFonts w:ascii="Times New Roman" w:hAnsi="Times New Roman"/>
          <w:b/>
          <w:i w:val="false"/>
          <w:color w:val="000000"/>
          <w:sz w:val="24"/>
        </w:rPr>
        <w:t xml:space="preserve">(232) </w:t>
      </w:r>
      <w:r>
        <w:rPr>
          <w:rFonts w:ascii="Times New Roman" w:hAnsi="Times New Roman"/>
          <w:b/>
          <w:i w:val="false"/>
          <w:color w:val="000000"/>
          <w:sz w:val="24"/>
        </w:rPr>
        <w:t xml:space="preserve">Sources of report of suspected child abuse.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175.4(1)</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Any person reporting suspected child abuse shall make an oral report to the department. The department may accept and act upon written reports received, including by attempting to contact the reporter.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175.4(2)</w:t>
      </w:r>
      <w:r>
        <w:rPr>
          <w:rFonts w:ascii="Times New Roman" w:hAnsi="Times New Roman"/>
          <w:b w:val="false"/>
          <w:i w:val="false"/>
          <w:color w:val="000000"/>
          <w:sz w:val="24"/>
        </w:rPr>
        <w:t> </w:t>
      </w:r>
      <w:r>
        <w:rPr>
          <w:rFonts w:ascii="Times New Roman" w:hAnsi="Times New Roman"/>
          <w:b w:val="false"/>
          <w:i/>
          <w:color w:val="000000"/>
          <w:sz w:val="24"/>
        </w:rPr>
        <w:t xml:space="preserve">Mandatory reporters. </w:t>
      </w:r>
      <w:r>
        <w:rPr>
          <w:rFonts w:ascii="Times New Roman" w:hAnsi="Times New Roman"/>
          <w:b w:val="false"/>
          <w:i w:val="false"/>
          <w:color w:val="000000"/>
          <w:sz w:val="24"/>
        </w:rPr>
        <w:t>Any person meeting the criteria of a mandatory reporter is required to make a report of the suspected child abuse to the department within 24 hours of becoming aware of the abusive incident. If the person making the report has reason to believe that immediate protection for the child is advisable, that person shall report the situation to an appropriate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175.4(3)</w:t>
      </w:r>
      <w:r>
        <w:rPr>
          <w:rFonts w:ascii="Times New Roman" w:hAnsi="Times New Roman"/>
          <w:b w:val="false"/>
          <w:i w:val="false"/>
          <w:color w:val="000000"/>
          <w:sz w:val="24"/>
        </w:rPr>
        <w:t> </w:t>
      </w:r>
      <w:r>
        <w:rPr>
          <w:rFonts w:ascii="Times New Roman" w:hAnsi="Times New Roman"/>
          <w:b w:val="false"/>
          <w:i/>
          <w:color w:val="000000"/>
          <w:sz w:val="24"/>
        </w:rPr>
        <w:t xml:space="preserve">Others required to report. </w:t>
      </w:r>
      <w:r>
        <w:rPr>
          <w:rFonts w:ascii="Times New Roman" w:hAnsi="Times New Roman"/>
          <w:b w:val="false"/>
          <w:i w:val="false"/>
          <w:color w:val="000000"/>
          <w:sz w:val="24"/>
        </w:rPr>
        <w:t>In addition to mandatory reporters who are so designated by the Iowa Code, there are other classifications of persons who are required, either by administrative rule or department policy, to report suspected child abuse when this is a duty identified through the person’s employment. Others required to report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Department community access and eligibility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Certified adoption investigators.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175.4(4)</w:t>
      </w:r>
      <w:r>
        <w:rPr>
          <w:rFonts w:ascii="Times New Roman" w:hAnsi="Times New Roman"/>
          <w:b w:val="false"/>
          <w:i w:val="false"/>
          <w:color w:val="000000"/>
          <w:sz w:val="24"/>
        </w:rPr>
        <w:t> </w:t>
      </w:r>
      <w:r>
        <w:rPr>
          <w:rFonts w:ascii="Times New Roman" w:hAnsi="Times New Roman"/>
          <w:b w:val="false"/>
          <w:i/>
          <w:color w:val="000000"/>
          <w:sz w:val="24"/>
        </w:rPr>
        <w:t xml:space="preserve">Permissive reporters. </w:t>
      </w:r>
      <w:r>
        <w:rPr>
          <w:rFonts w:ascii="Times New Roman" w:hAnsi="Times New Roman"/>
          <w:b w:val="false"/>
          <w:i w:val="false"/>
          <w:color w:val="000000"/>
          <w:sz w:val="24"/>
        </w:rPr>
        <w:t>Mandatory reporters may report as permissive reporters when they suspect abuse of a child outside the scope of their professions. A permissive reporter is not required by law to report abuse.</w:t>
      </w:r>
    </w:p>
    <w:p>
      <w:pPr>
        <w:spacing w:before="0" w:after="0" w:line="480"/>
        <w:ind w:left="120"/>
        <w:jc w:val="both"/>
      </w:pPr>
      <w:r>
        <w:rPr>
          <w:rFonts w:ascii="Times New Roman" w:hAnsi="Times New Roman"/>
          <w:b/>
          <w:i w:val="false"/>
          <w:color w:val="000000"/>
          <w:sz w:val="24"/>
        </w:rPr>
        <w:t>441—175.5</w:t>
      </w:r>
      <w:r>
        <w:rPr>
          <w:rFonts w:ascii="Times New Roman" w:hAnsi="Times New Roman"/>
          <w:b/>
          <w:i w:val="false"/>
          <w:color w:val="000000"/>
          <w:sz w:val="24"/>
        </w:rPr>
        <w:t xml:space="preserve">(232) </w:t>
      </w:r>
      <w:r>
        <w:rPr>
          <w:rFonts w:ascii="Times New Roman" w:hAnsi="Times New Roman"/>
          <w:b/>
          <w:i w:val="false"/>
          <w:color w:val="000000"/>
          <w:sz w:val="24"/>
        </w:rPr>
        <w:t xml:space="preserve">Assessment intake process. </w:t>
      </w:r>
      <w:r>
        <w:rPr>
          <w:rFonts w:ascii="Times New Roman" w:hAnsi="Times New Roman"/>
          <w:b w:val="false"/>
          <w:i w:val="false"/>
          <w:color w:val="000000"/>
          <w:sz w:val="24"/>
        </w:rPr>
        <w:t>The primary purpose of intake is to obtain available and pertinent information regarding an allegation of child abuse and determine whether a report of suspected child abuse becomes accepted for assessment or is determined to be a rejected intake.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175.5(1)</w:t>
      </w:r>
      <w:r>
        <w:rPr>
          <w:rFonts w:ascii="Times New Roman" w:hAnsi="Times New Roman"/>
          <w:b w:val="false"/>
          <w:i w:val="false"/>
          <w:color w:val="000000"/>
          <w:sz w:val="24"/>
        </w:rPr>
        <w:t> </w:t>
      </w:r>
      <w:r>
        <w:rPr>
          <w:rFonts w:ascii="Times New Roman" w:hAnsi="Times New Roman"/>
          <w:b w:val="false"/>
          <w:i w:val="false"/>
          <w:color w:val="000000"/>
          <w:sz w:val="24"/>
        </w:rPr>
        <w:t>To result in an assessment, the report of suspected child abuse must include some information to indicate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alleged victim of child abuse is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alleged perpetrator of child abuse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caretaker;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resides in a home with the child, if the allegation is sexual abuse as outlined in Iowa Code section </w:t>
      </w:r>
      <w:hyperlink r:id="rId14">
        <w:r>
          <w:rPr>
            <w:rStyle w:val="Hyperlink"/>
            <w:rFonts w:ascii="Times New Roman" w:hAnsi="Times New Roman"/>
            <w:b w:val="false"/>
            <w:i w:val="false"/>
            <w:color w:val="000000"/>
            <w:sz w:val="24"/>
          </w:rPr>
          <w:t>232.68(2)</w:t>
        </w:r>
      </w:hyperlink>
      <w:r>
        <w:rPr>
          <w:rFonts w:ascii="Times New Roman" w:hAnsi="Times New Roman"/>
          <w:b w:val="false"/>
          <w:i/>
          <w:color w:val="000000"/>
          <w:sz w:val="24"/>
        </w:rPr>
        <w:t>“a”</w:t>
      </w:r>
      <w:r>
        <w:rPr>
          <w:rFonts w:ascii="Times New Roman" w:hAnsi="Times New Roman"/>
          <w:b w:val="false"/>
          <w:i w:val="false"/>
          <w:color w:val="000000"/>
          <w:sz w:val="24"/>
        </w:rPr>
        <w:t>(3);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engages in or allows child sex trafficking as defined in Iowa Code section </w:t>
      </w:r>
      <w:hyperlink r:id="rId15">
        <w:r>
          <w:rPr>
            <w:rStyle w:val="Hyperlink"/>
            <w:rFonts w:ascii="Times New Roman" w:hAnsi="Times New Roman"/>
            <w:b w:val="false"/>
            <w:i w:val="false"/>
            <w:color w:val="000000"/>
            <w:sz w:val="24"/>
          </w:rPr>
          <w:t>232.68(2)</w:t>
        </w:r>
      </w:hyperlink>
      <w:r>
        <w:rPr>
          <w:rFonts w:ascii="Times New Roman" w:hAnsi="Times New Roman"/>
          <w:b w:val="false"/>
          <w:i/>
          <w:color w:val="000000"/>
          <w:sz w:val="24"/>
        </w:rPr>
        <w:t>“a”</w:t>
      </w:r>
      <w:r>
        <w:rPr>
          <w:rFonts w:ascii="Times New Roman" w:hAnsi="Times New Roman"/>
          <w:b w:val="false"/>
          <w:i w:val="false"/>
          <w:color w:val="000000"/>
          <w:sz w:val="24"/>
        </w:rPr>
        <w:t>(11).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alleged incident falls within the definition of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175.5(2)</w:t>
      </w:r>
      <w:r>
        <w:rPr>
          <w:rFonts w:ascii="Times New Roman" w:hAnsi="Times New Roman"/>
          <w:b w:val="false"/>
          <w:i w:val="false"/>
          <w:color w:val="000000"/>
          <w:sz w:val="24"/>
        </w:rPr>
        <w:t> </w:t>
      </w:r>
      <w:r>
        <w:rPr>
          <w:rFonts w:ascii="Times New Roman" w:hAnsi="Times New Roman"/>
          <w:b w:val="false"/>
          <w:i w:val="false"/>
          <w:color w:val="000000"/>
          <w:sz w:val="24"/>
        </w:rPr>
        <w:t>If the report constitutes a child abuse allegation, a determination is made as to whether the assessment will be assigned as a child abuse assessment, to be commenced within 24 hours of receiving the report, or a family assessment, to be commenced within 72 hours of receiving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child abuse assessment is required for all accepted reports that allege child abuse as defined in Iowa Code section </w:t>
      </w:r>
      <w:hyperlink r:id="rId16">
        <w:r>
          <w:rPr>
            <w:rStyle w:val="Hyperlink"/>
            <w:rFonts w:ascii="Times New Roman" w:hAnsi="Times New Roman"/>
            <w:b w:val="false"/>
            <w:i w:val="false"/>
            <w:color w:val="000000"/>
            <w:sz w:val="24"/>
          </w:rPr>
          <w:t>232.68(2)</w:t>
        </w:r>
      </w:hyperlink>
      <w:r>
        <w:rPr>
          <w:rFonts w:ascii="Times New Roman" w:hAnsi="Times New Roman"/>
          <w:b w:val="false"/>
          <w:i/>
          <w:color w:val="000000"/>
          <w:sz w:val="24"/>
        </w:rPr>
        <w:t>“a”</w:t>
      </w:r>
      <w:r>
        <w:rPr>
          <w:rFonts w:ascii="Times New Roman" w:hAnsi="Times New Roman"/>
          <w:b w:val="false"/>
          <w:i w:val="false"/>
          <w:color w:val="000000"/>
          <w:sz w:val="24"/>
        </w:rPr>
        <w:t xml:space="preserve">(1) through </w:t>
      </w:r>
      <w:r>
        <w:rPr>
          <w:rFonts w:ascii="Times New Roman" w:hAnsi="Times New Roman"/>
          <w:b w:val="false"/>
          <w:i/>
          <w:color w:val="000000"/>
          <w:sz w:val="24"/>
        </w:rPr>
        <w:t>“a”</w:t>
      </w:r>
      <w:r>
        <w:rPr>
          <w:rFonts w:ascii="Times New Roman" w:hAnsi="Times New Roman"/>
          <w:b w:val="false"/>
          <w:i w:val="false"/>
          <w:color w:val="000000"/>
          <w:sz w:val="24"/>
        </w:rPr>
        <w:t xml:space="preserve">(3) and </w:t>
      </w:r>
      <w:r>
        <w:rPr>
          <w:rFonts w:ascii="Times New Roman" w:hAnsi="Times New Roman"/>
          <w:b w:val="false"/>
          <w:i/>
          <w:color w:val="000000"/>
          <w:sz w:val="24"/>
        </w:rPr>
        <w:t>“a”</w:t>
      </w:r>
      <w:r>
        <w:rPr>
          <w:rFonts w:ascii="Times New Roman" w:hAnsi="Times New Roman"/>
          <w:b w:val="false"/>
          <w:i w:val="false"/>
          <w:color w:val="000000"/>
          <w:sz w:val="24"/>
        </w:rPr>
        <w:t xml:space="preserve">(5) through </w:t>
      </w:r>
      <w:r>
        <w:rPr>
          <w:rFonts w:ascii="Times New Roman" w:hAnsi="Times New Roman"/>
          <w:b w:val="false"/>
          <w:i/>
          <w:color w:val="000000"/>
          <w:sz w:val="24"/>
        </w:rPr>
        <w:t>“a”</w:t>
      </w:r>
      <w:r>
        <w:rPr>
          <w:rFonts w:ascii="Times New Roman" w:hAnsi="Times New Roman"/>
          <w:b w:val="false"/>
          <w:i w:val="false"/>
          <w:color w:val="000000"/>
          <w:sz w:val="24"/>
        </w:rPr>
        <w:t xml:space="preserve">(11); or that allege child abuse as defined in Iowa Code section </w:t>
      </w:r>
      <w:hyperlink r:id="rId17">
        <w:r>
          <w:rPr>
            <w:rStyle w:val="Hyperlink"/>
            <w:rFonts w:ascii="Times New Roman" w:hAnsi="Times New Roman"/>
            <w:b w:val="false"/>
            <w:i w:val="false"/>
            <w:color w:val="000000"/>
            <w:sz w:val="24"/>
          </w:rPr>
          <w:t>232.68(2)</w:t>
        </w:r>
      </w:hyperlink>
      <w:r>
        <w:rPr>
          <w:rFonts w:ascii="Times New Roman" w:hAnsi="Times New Roman"/>
          <w:b w:val="false"/>
          <w:i/>
          <w:color w:val="000000"/>
          <w:sz w:val="24"/>
        </w:rPr>
        <w:t>“a”</w:t>
      </w:r>
      <w:r>
        <w:rPr>
          <w:rFonts w:ascii="Times New Roman" w:hAnsi="Times New Roman"/>
          <w:b w:val="false"/>
          <w:i w:val="false"/>
          <w:color w:val="000000"/>
          <w:sz w:val="24"/>
        </w:rPr>
        <w:t>(4) that also allege imminent danger, death, or injury to a child. If one or more of the following factors are met, a child abuse assessment shall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alleged abuse type includes a category other than denial of critical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allegation alleges imminent danger, death, or injury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child has been taken into protective custody as a result of the allegation.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an open service case on the alleged child victim or any sibling or any other child who resides in the home or in the home of the noncustodial parent if the noncustodial parent is the alleged person responsible.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alleged person responsible is not a birth or adoptive parent, a legal guardian, or a member of the child’s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There has been a termination of parental rights in juvenile court on the alleged person responsible or on any caretaker who resides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There has been prior confirmed or founded abuse within the past six months that lists any caretaker who resides in the home as the person responsible.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It is alleged that illegal drugs are being manufactured or sold from the family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allegation is failure to thrive or that the caretaker has failed to respond to an infant’s life-threatening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The allegation involves an incident for which the caretaker has been charged with a felony under Iowa Code chapter </w:t>
      </w:r>
      <w:hyperlink r:id="rId18">
        <w:r>
          <w:rPr>
            <w:rStyle w:val="Hyperlink"/>
            <w:rFonts w:ascii="Times New Roman" w:hAnsi="Times New Roman"/>
            <w:b w:val="false"/>
            <w:i w:val="false"/>
            <w:color w:val="000000"/>
            <w:sz w:val="24"/>
          </w:rPr>
          <w:t>726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family assessment is required for all accepted reports that allege child abuse but do not allege imminent danger, death, or injury to a child. If all of the following factors are met, a family assessment shall be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alleged abuse type is denial of critical care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allegation does not allege imminent danger, death, or injury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child has not been taken into protective custody as a result of the allegation.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no current open service case on the alleged child victim or any sibling or any other child who resides in the home or in the home of the noncustodial parent if the noncustodial parent is the alleged person responsible.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alleged person responsible is a birth or adoptive parent, a legal guardian, or a member of the child’s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There has not been a termination of parental rights in juvenile court on the alleged person responsible or on any caretaker who resides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There has been no prior confirmed or founded abuse within the past six months that lists any caretaker who resides in the home as the person responsible.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It is not alleged that illegal drugs are being manufactured or sold from the family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allegation is not failure to thrive or that the caretaker has failed to respond to an infant’s life-threatening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The allegation does not involve an incident for which the caretaker has been charged with a felony under Iowa Code chapter </w:t>
      </w:r>
      <w:hyperlink r:id="rId19">
        <w:r>
          <w:rPr>
            <w:rStyle w:val="Hyperlink"/>
            <w:rFonts w:ascii="Times New Roman" w:hAnsi="Times New Roman"/>
            <w:b w:val="false"/>
            <w:i w:val="false"/>
            <w:color w:val="000000"/>
            <w:sz w:val="24"/>
          </w:rPr>
          <w:t>726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175.5(3)</w:t>
      </w:r>
      <w:r>
        <w:rPr>
          <w:rFonts w:ascii="Times New Roman" w:hAnsi="Times New Roman"/>
          <w:b w:val="false"/>
          <w:i w:val="false"/>
          <w:color w:val="000000"/>
          <w:sz w:val="24"/>
        </w:rPr>
        <w:t> </w:t>
      </w:r>
      <w:r>
        <w:rPr>
          <w:rFonts w:ascii="Times New Roman" w:hAnsi="Times New Roman"/>
          <w:b w:val="false"/>
          <w:i w:val="false"/>
          <w:color w:val="000000"/>
          <w:sz w:val="24"/>
        </w:rPr>
        <w:t>Only the person making a report of suspected abuse may be contacted during the intake process to expand upon or to clarify information in the report. Any contact with subjects of the report or with anyone outside the department, other than the original reporter(s), automatically causes the report of suspected child abuse to be accepted for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175.5(4)</w:t>
      </w:r>
      <w:r>
        <w:rPr>
          <w:rFonts w:ascii="Times New Roman" w:hAnsi="Times New Roman"/>
          <w:b w:val="false"/>
          <w:i w:val="false"/>
          <w:color w:val="000000"/>
          <w:sz w:val="24"/>
        </w:rPr>
        <w:t> </w:t>
      </w:r>
      <w:r>
        <w:rPr>
          <w:rFonts w:ascii="Times New Roman" w:hAnsi="Times New Roman"/>
          <w:b w:val="false"/>
          <w:i w:val="false"/>
          <w:color w:val="000000"/>
          <w:sz w:val="24"/>
        </w:rPr>
        <w:t>A report of suspected child abuse fails to constitute a child abuse allegation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It is determined that the report of suspected child abuse fails to constitute a child abuse allegation. The report of suspected child abuse will become a rejected intake and will be evaluated to determine whether the information reported constitutes a complaint that a child is a child in need of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It is determined that a report of a child needing the assistance of the court fails to meet the definition of a child in need of assistance. The report will become a rejected intake.</w:t>
      </w:r>
    </w:p>
    <w:p>
      <w:pPr>
        <w:spacing w:before="0" w:after="0" w:line="480"/>
        <w:ind w:left="120"/>
        <w:jc w:val="both"/>
      </w:pPr>
      <w:r>
        <w:rPr>
          <w:rFonts w:ascii="Times New Roman" w:hAnsi="Times New Roman"/>
          <w:b w:val="false"/>
          <w:i w:val="false"/>
          <w:color w:val="000000"/>
          <w:sz w:val="24"/>
        </w:rPr>
        <w:t>Rejected intake information will be maintained by the department for three years from the date the report was rejected and will then be destroyed.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175.5(5)</w:t>
      </w:r>
      <w:r>
        <w:rPr>
          <w:rFonts w:ascii="Times New Roman" w:hAnsi="Times New Roman"/>
          <w:b w:val="false"/>
          <w:i w:val="false"/>
          <w:color w:val="000000"/>
          <w:sz w:val="24"/>
        </w:rPr>
        <w:t> </w:t>
      </w:r>
      <w:r>
        <w:rPr>
          <w:rFonts w:ascii="Times New Roman" w:hAnsi="Times New Roman"/>
          <w:b w:val="false"/>
          <w:i w:val="false"/>
          <w:color w:val="000000"/>
          <w:sz w:val="24"/>
        </w:rPr>
        <w:t xml:space="preserve">Intake information shall be provided as set forth in Iowa Code section </w:t>
      </w:r>
      <w:hyperlink r:id="rId20">
        <w:r>
          <w:rPr>
            <w:rStyle w:val="Hyperlink"/>
            <w:rFonts w:ascii="Times New Roman" w:hAnsi="Times New Roman"/>
            <w:b w:val="false"/>
            <w:i w:val="false"/>
            <w:color w:val="000000"/>
            <w:sz w:val="24"/>
          </w:rPr>
          <w:t>232.70(4)</w:t>
        </w:r>
      </w:hyperlink>
      <w:r>
        <w:rPr>
          <w:rFonts w:ascii="Times New Roman" w:hAnsi="Times New Roman"/>
          <w:b w:val="false"/>
          <w:i/>
          <w:color w:val="000000"/>
          <w:sz w:val="24"/>
        </w:rPr>
        <w:t>“b.”</w:t>
      </w:r>
    </w:p>
    <w:p>
      <w:pPr>
        <w:spacing w:before="0" w:after="0" w:line="480"/>
        <w:ind w:left="120"/>
        <w:jc w:val="both"/>
      </w:pPr>
      <w:r>
        <w:rPr>
          <w:rFonts w:ascii="Times New Roman" w:hAnsi="Times New Roman"/>
          <w:b/>
          <w:i w:val="false"/>
          <w:color w:val="000000"/>
          <w:sz w:val="24"/>
        </w:rPr>
        <w:t>441—175.6</w:t>
      </w:r>
      <w:r>
        <w:rPr>
          <w:rFonts w:ascii="Times New Roman" w:hAnsi="Times New Roman"/>
          <w:b/>
          <w:i w:val="false"/>
          <w:color w:val="000000"/>
          <w:sz w:val="24"/>
        </w:rPr>
        <w:t xml:space="preserve">(232) </w:t>
      </w:r>
      <w:r>
        <w:rPr>
          <w:rFonts w:ascii="Times New Roman" w:hAnsi="Times New Roman"/>
          <w:b/>
          <w:i w:val="false"/>
          <w:color w:val="000000"/>
          <w:sz w:val="24"/>
        </w:rPr>
        <w:t xml:space="preserve">Assessment process. </w:t>
      </w:r>
      <w:r>
        <w:rPr>
          <w:rFonts w:ascii="Times New Roman" w:hAnsi="Times New Roman"/>
          <w:b w:val="false"/>
          <w:i w:val="false"/>
          <w:color w:val="000000"/>
          <w:sz w:val="24"/>
        </w:rPr>
        <w:t>A child abuse assessment will be initiated within 24 hours following the report of suspected child abuse. A family assessment will be initiated within 72 hours following the report of suspected child abuse. The primary purpose in conducting an assessment is to protect the safety of the child named in the report. The secondary purpose of the assessment is to engage the child’s family in services in a culturally competent way, to enhance family strengths and to address needs, where this is necessary and desired.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175.6(1)</w:t>
      </w:r>
      <w:r>
        <w:rPr>
          <w:rFonts w:ascii="Times New Roman" w:hAnsi="Times New Roman"/>
          <w:b w:val="false"/>
          <w:i w:val="false"/>
          <w:color w:val="000000"/>
          <w:sz w:val="24"/>
        </w:rPr>
        <w:t> </w:t>
      </w:r>
      <w:r>
        <w:rPr>
          <w:rFonts w:ascii="Times New Roman" w:hAnsi="Times New Roman"/>
          <w:b w:val="false"/>
          <w:i/>
          <w:color w:val="000000"/>
          <w:sz w:val="24"/>
        </w:rPr>
        <w:t xml:space="preserve">Observing and evaluating the child’s safety. </w:t>
      </w:r>
      <w:r>
        <w:rPr>
          <w:rFonts w:ascii="Times New Roman" w:hAnsi="Times New Roman"/>
          <w:b w:val="false"/>
          <w:i w:val="false"/>
          <w:color w:val="000000"/>
          <w:sz w:val="24"/>
        </w:rPr>
        <w:t>A safety assessment and risk assessment will be completed during the course of a child abuse assessment or family assessment. When a child cannot remain safely in a parent’s care, the least restrictive care must be secured for the child’s placement with a preference for placement with the child’s family or fictive kin.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During a child abuse assessment, when there is an immediate threat to the child’s safety, the department will evaluate the threat and determine whether immediate response is needed to observe or evaluate safety of the child named in the report, consistent with the level of risk and the need to safeguard the child. The department will document the basis for determining any immediate threat, the protective actions taken, and the efforts made to observe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Reasonable efforts will be made to observe the alleged child victim and evaluate the child’s safety within 24 hours of receipt of the report of suspected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the alleged perpetrator clearly does not have access to the alleged child victim, reasonable efforts will be made to observe the alleged child victim and evaluate the child’s safety within 96 hours of receipt of the report of suspected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reasonable efforts have been made to observe the alleged child victim within the specified time frames and the worker has established that there is no risk to the alleged child victim, the observation of the alleged child victim may be delayed or waived with supervisory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During a family assessment, reasonable efforts will be made to observe the alleged child victim and evaluate the child’s safety within 72 hours of receipt of the report of suspected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reasonable efforts have been made to observe the alleged child victim within the specified time frame and the worker has established that there is no risk to the alleged child victim, the observation of the alleged child victim may be delayed or waived with supervisory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at any time during a family assessment a child is determined to be unsafe or in imminent danger, it appears that the immediate safety or well-being of a child is endangered, it appears that the family may flee or the child may disappear, or that the facts otherwise warrant, the department will immediately commence a child abuse assessment according to Iowa Code section </w:t>
      </w:r>
      <w:hyperlink r:id="rId21">
        <w:r>
          <w:rPr>
            <w:rStyle w:val="Hyperlink"/>
            <w:rFonts w:ascii="Times New Roman" w:hAnsi="Times New Roman"/>
            <w:b w:val="false"/>
            <w:i w:val="false"/>
            <w:color w:val="000000"/>
            <w:sz w:val="24"/>
          </w:rPr>
          <w:t>232.71B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department determines that safety issues continue to require a child to reside outside of the child’s home at the conclusion of a family assessment, the department will transfer the assessment to the child abuse assessment pathway for a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has reasonable cause to believe that a child or youth for whom the department has responsibility for placement, care, or supervision is or is at risk of being a victim of sex trafficking or a severe form of trafficking in persons, the department will identify that child or youth as such, document it, and determine appropriate services, in accordance with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671(c) as amended to August 1, 2026. Additionally, the department will report the child or youth immediately, and in no case later than 24 hours, to law enforcement authorities.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175.6(2)</w:t>
      </w:r>
      <w:r>
        <w:rPr>
          <w:rFonts w:ascii="Times New Roman" w:hAnsi="Times New Roman"/>
          <w:b w:val="false"/>
          <w:i w:val="false"/>
          <w:color w:val="000000"/>
          <w:sz w:val="24"/>
        </w:rPr>
        <w:t> </w:t>
      </w:r>
      <w:r>
        <w:rPr>
          <w:rFonts w:ascii="Times New Roman" w:hAnsi="Times New Roman"/>
          <w:b w:val="false"/>
          <w:i/>
          <w:color w:val="000000"/>
          <w:sz w:val="24"/>
        </w:rPr>
        <w:t xml:space="preserve">Interviewing the alleged child victim. </w:t>
      </w:r>
      <w:r>
        <w:rPr>
          <w:rFonts w:ascii="Times New Roman" w:hAnsi="Times New Roman"/>
          <w:b w:val="false"/>
          <w:i w:val="false"/>
          <w:color w:val="000000"/>
          <w:sz w:val="24"/>
        </w:rPr>
        <w:t>The primary purpose of an interview with the child, during the course of a child abuse assessment or family assessment, is to gather information regarding the abuse allegation, the child’s immediate safety, and risk of abuse. During a child abuse assessment, the child protection worker will also identify the person or persons responsible for the alleged abuse as well as the nature, extent, and cause of injuries, if any, to the child named in the report of suspected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175.6(3)</w:t>
      </w:r>
      <w:r>
        <w:rPr>
          <w:rFonts w:ascii="Times New Roman" w:hAnsi="Times New Roman"/>
          <w:b w:val="false"/>
          <w:i w:val="false"/>
          <w:color w:val="000000"/>
          <w:sz w:val="24"/>
        </w:rPr>
        <w:t> </w:t>
      </w:r>
      <w:r>
        <w:rPr>
          <w:rFonts w:ascii="Times New Roman" w:hAnsi="Times New Roman"/>
          <w:b w:val="false"/>
          <w:i/>
          <w:color w:val="000000"/>
          <w:sz w:val="24"/>
        </w:rPr>
        <w:t xml:space="preserve">Interviewing subjects of the report and other sources.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During a child abuse assessment, attempts will be made to conduct interviews with subjects of the report and persons who have relevant information to share regarding the allegations. This may include contact with physicians to assess the child’s condition. The child’s custodial parents or guardians and the alleged perpetrator (if different) will be interviewed or offered the opportunity to be interviewed. The court may waive the requirement of the interview for good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During a family assessment, the child’s custodial parents or guardians will be interviewed or offered the opportunity to be interviewed. The child protection worker may request information from any person believed to have knowledge regarding a child named in an assessment. A family assessment requires the cooperation of the family; should a family choose not to participate, the department is required to transfer the assessment to the child abuse assessment pathway for a disposition.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175.6(4)</w:t>
      </w:r>
      <w:r>
        <w:rPr>
          <w:rFonts w:ascii="Times New Roman" w:hAnsi="Times New Roman"/>
          <w:b w:val="false"/>
          <w:i w:val="false"/>
          <w:color w:val="000000"/>
          <w:sz w:val="24"/>
        </w:rPr>
        <w:t> </w:t>
      </w:r>
      <w:r>
        <w:rPr>
          <w:rFonts w:ascii="Times New Roman" w:hAnsi="Times New Roman"/>
          <w:b w:val="false"/>
          <w:i/>
          <w:color w:val="000000"/>
          <w:sz w:val="24"/>
        </w:rPr>
        <w:t xml:space="preserve">Gathering of physical and documentary evidence. </w:t>
      </w:r>
      <w:r>
        <w:rPr>
          <w:rFonts w:ascii="Times New Roman" w:hAnsi="Times New Roman"/>
          <w:b w:val="false"/>
          <w:i w:val="false"/>
          <w:color w:val="000000"/>
          <w:sz w:val="24"/>
        </w:rPr>
        <w:t>During a child abuse assessment, evidence may be gathered from interviews, observations, photographs, medical and psychological reports and records, reports from child protection centers, written reports, audiotapes and their transcripts or summaries, videotapes and their transcripts or summaries, or other electronic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175.6(5)</w:t>
      </w:r>
      <w:r>
        <w:rPr>
          <w:rFonts w:ascii="Times New Roman" w:hAnsi="Times New Roman"/>
          <w:b w:val="false"/>
          <w:i w:val="false"/>
          <w:color w:val="000000"/>
          <w:sz w:val="24"/>
        </w:rPr>
        <w:t> </w:t>
      </w:r>
      <w:r>
        <w:rPr>
          <w:rFonts w:ascii="Times New Roman" w:hAnsi="Times New Roman"/>
          <w:b w:val="false"/>
          <w:i/>
          <w:color w:val="000000"/>
          <w:sz w:val="24"/>
        </w:rPr>
        <w:t xml:space="preserve">Evaluating the home environment and relationships of household members. </w:t>
      </w:r>
      <w:r>
        <w:rPr>
          <w:rFonts w:ascii="Times New Roman" w:hAnsi="Times New Roman"/>
          <w:b w:val="false"/>
          <w:i w:val="false"/>
          <w:color w:val="000000"/>
          <w:sz w:val="24"/>
        </w:rPr>
        <w:t>An evaluation of the home environment will be conducted during the course of an assessment with the consent of the parent or guardian. If permission is refused, the juvenile court may authorize the worker to enter the home to observe or interview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protective concerns are identified, the child protection worker will evaluate the child named in the report and any other children in the same home as the parents or other persons responsible for their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Each assessment will include a full description of observations and information gathered during the assessment process. This description will provide information that evaluates the safety of the child named in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child protection worker has concerns about a child’s safety or a family’s functioning, the worker will conduct a more intensive assessment until those concerns are addressed.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an assessment is conducted at an out-of-home setting, an evaluation of the environment and relationships where the abuse allegedly occurred will be conducted.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child abuse assessment will include a description of the name, age, and condition of other children in the same home as the child named in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175.6(6)</w:t>
      </w:r>
      <w:r>
        <w:rPr>
          <w:rFonts w:ascii="Times New Roman" w:hAnsi="Times New Roman"/>
          <w:b w:val="false"/>
          <w:i w:val="false"/>
          <w:color w:val="000000"/>
          <w:sz w:val="24"/>
        </w:rPr>
        <w:t> </w:t>
      </w:r>
      <w:r>
        <w:rPr>
          <w:rFonts w:ascii="Times New Roman" w:hAnsi="Times New Roman"/>
          <w:b w:val="false"/>
          <w:i/>
          <w:color w:val="000000"/>
          <w:sz w:val="24"/>
        </w:rPr>
        <w:t xml:space="preserve">Evaluating the information. </w:t>
      </w:r>
      <w:r>
        <w:rPr>
          <w:rFonts w:ascii="Times New Roman" w:hAnsi="Times New Roman"/>
          <w:b w:val="false"/>
          <w:i w:val="false"/>
          <w:color w:val="000000"/>
          <w:sz w:val="24"/>
        </w:rPr>
        <w:t>During a child abuse assessment, evaluation of information will include an analysis that considers the credibility of the physical evidence, observations, and interviews and will result in a conclusion of whether or not to confirm the report of suspected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175.6(7)</w:t>
      </w:r>
      <w:r>
        <w:rPr>
          <w:rFonts w:ascii="Times New Roman" w:hAnsi="Times New Roman"/>
          <w:b w:val="false"/>
          <w:i w:val="false"/>
          <w:color w:val="000000"/>
          <w:sz w:val="24"/>
        </w:rPr>
        <w:t> </w:t>
      </w:r>
      <w:r>
        <w:rPr>
          <w:rFonts w:ascii="Times New Roman" w:hAnsi="Times New Roman"/>
          <w:b w:val="false"/>
          <w:i/>
          <w:color w:val="000000"/>
          <w:sz w:val="24"/>
        </w:rPr>
        <w:t xml:space="preserve">Determining placement on central abuse registry. </w:t>
      </w:r>
      <w:r>
        <w:rPr>
          <w:rFonts w:ascii="Times New Roman" w:hAnsi="Times New Roman"/>
          <w:b w:val="false"/>
          <w:i w:val="false"/>
          <w:color w:val="000000"/>
          <w:sz w:val="24"/>
        </w:rPr>
        <w:t xml:space="preserve">During a child abuse assessment, a determination of whether the report data and disposition data of a confirmed case of child abuse is subject to placement on the central abuse registry pursuant to Iowa Code section </w:t>
      </w:r>
      <w:hyperlink r:id="rId22">
        <w:r>
          <w:rPr>
            <w:rStyle w:val="Hyperlink"/>
            <w:rFonts w:ascii="Times New Roman" w:hAnsi="Times New Roman"/>
            <w:b w:val="false"/>
            <w:i w:val="false"/>
            <w:color w:val="000000"/>
            <w:sz w:val="24"/>
          </w:rPr>
          <w:t>232.71D</w:t>
        </w:r>
      </w:hyperlink>
      <w:r>
        <w:rPr>
          <w:rFonts w:ascii="Times New Roman" w:hAnsi="Times New Roman"/>
          <w:b w:val="false"/>
          <w:i w:val="false"/>
          <w:color w:val="000000"/>
          <w:sz w:val="24"/>
        </w:rPr>
        <w:t xml:space="preserve"> will be made on each assessment. Determining placement on the central abuse registry is not applicable in a family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175.6(8)</w:t>
      </w:r>
      <w:r>
        <w:rPr>
          <w:rFonts w:ascii="Times New Roman" w:hAnsi="Times New Roman"/>
          <w:b w:val="false"/>
          <w:i w:val="false"/>
          <w:color w:val="000000"/>
          <w:sz w:val="24"/>
        </w:rPr>
        <w:t> </w:t>
      </w:r>
      <w:r>
        <w:rPr>
          <w:rFonts w:ascii="Times New Roman" w:hAnsi="Times New Roman"/>
          <w:b w:val="false"/>
          <w:i/>
          <w:color w:val="000000"/>
          <w:sz w:val="24"/>
        </w:rPr>
        <w:t xml:space="preserve">Service recommendations and referrals. </w:t>
      </w:r>
      <w:r>
        <w:rPr>
          <w:rFonts w:ascii="Times New Roman" w:hAnsi="Times New Roman"/>
          <w:b w:val="false"/>
          <w:i w:val="false"/>
          <w:color w:val="000000"/>
          <w:sz w:val="24"/>
        </w:rPr>
        <w:t>During or at the conclusion of a child abuse assessment or a family assessment, the department will consult with the child’s family to offer services to the child and the child’s family that address strengths and needs identified in the assessment. The department may recommend information, information and referral, community care referral, or services provided by the department. If it is believed that services are necessary for the protection of the abused child or other children in the home, juvenile court intervention will be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Information or information and referral. </w:t>
      </w:r>
      <w:r>
        <w:rPr>
          <w:rFonts w:ascii="Times New Roman" w:hAnsi="Times New Roman"/>
          <w:b w:val="false"/>
          <w:i w:val="false"/>
          <w:color w:val="000000"/>
          <w:sz w:val="24"/>
        </w:rPr>
        <w:t>Either information or information and referral will be offered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family assessment has identified the child to be at low risk of future abuse or neglect;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abuse assessment has identified the abuse is not confirmed and the child is believed to be at low risk of future abuse or neglect;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child abuse assessment has identified the abuse is confirmed and not placed on the registry and the child is believed to be at low risk of future abuse or neglect.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Recommendation options for information and information and referral.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no service needs are identified, the worker may recommend no service;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service needs are identified, the worker may recommend new or continuing services to the family to be provided through informal supports;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service needs are identified, the worker may recommend new or continuing services to the family to be provided through community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Referral for department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or arrange for and monitor services for abused children and their families on a voluntary basis or under a final or intermediate order of the juvenile court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child abuse assessment has identified the abuse is confirmed and not placed on the registry and the child is believed to be at high risk of future abuse or neglect;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child abuse assessment has identified the abuse is founded.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worker will recommend new or continuing services to the family to be provided by the department, either directly or through contracted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Families that refuse voluntary services will be referred for a child in need of assistance petition through juvenile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175.6(9)</w:t>
      </w:r>
      <w:r>
        <w:rPr>
          <w:rFonts w:ascii="Times New Roman" w:hAnsi="Times New Roman"/>
          <w:b w:val="false"/>
          <w:i w:val="false"/>
          <w:color w:val="000000"/>
          <w:sz w:val="24"/>
        </w:rPr>
        <w:t> </w:t>
      </w:r>
      <w:r>
        <w:rPr>
          <w:rFonts w:ascii="Times New Roman" w:hAnsi="Times New Roman"/>
          <w:b w:val="false"/>
          <w:i/>
          <w:color w:val="000000"/>
          <w:sz w:val="24"/>
        </w:rPr>
        <w:t xml:space="preserve">Court action following assessment. </w:t>
      </w:r>
      <w:r>
        <w:rPr>
          <w:rFonts w:ascii="Times New Roman" w:hAnsi="Times New Roman"/>
          <w:b w:val="false"/>
          <w:i w:val="false"/>
          <w:color w:val="000000"/>
          <w:sz w:val="24"/>
        </w:rPr>
        <w:t xml:space="preserve">If, upon completion of an assessment performed under Iowa Code section </w:t>
      </w:r>
      <w:hyperlink r:id="rId23">
        <w:r>
          <w:rPr>
            <w:rStyle w:val="Hyperlink"/>
            <w:rFonts w:ascii="Times New Roman" w:hAnsi="Times New Roman"/>
            <w:b w:val="false"/>
            <w:i w:val="false"/>
            <w:color w:val="000000"/>
            <w:sz w:val="24"/>
          </w:rPr>
          <w:t>232.71B</w:t>
        </w:r>
      </w:hyperlink>
      <w:r>
        <w:rPr>
          <w:rFonts w:ascii="Times New Roman" w:hAnsi="Times New Roman"/>
          <w:b w:val="false"/>
          <w:i w:val="false"/>
          <w:color w:val="000000"/>
          <w:sz w:val="24"/>
        </w:rPr>
        <w:t>, the department determines that the best interests of the child require juvenile court action, the department will act appropriately to initiate the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at any time during the assessment process the department believes court action is necessary to safeguard a child, the department will act appropriately to initiate the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assist the juvenile court or district court during all stages of court proceedings involving an alleged child abuse case in accordance with Iowa Code section </w:t>
      </w:r>
      <w:hyperlink r:id="rId24">
        <w:r>
          <w:rPr>
            <w:rStyle w:val="Hyperlink"/>
            <w:rFonts w:ascii="Times New Roman" w:hAnsi="Times New Roman"/>
            <w:b w:val="false"/>
            <w:i w:val="false"/>
            <w:color w:val="000000"/>
            <w:sz w:val="24"/>
          </w:rPr>
          <w:t>232.71C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441—175.7</w:t>
      </w:r>
      <w:r>
        <w:rPr>
          <w:rFonts w:ascii="Times New Roman" w:hAnsi="Times New Roman"/>
          <w:b/>
          <w:i w:val="false"/>
          <w:color w:val="000000"/>
          <w:sz w:val="24"/>
        </w:rPr>
        <w:t xml:space="preserve">(232) </w:t>
      </w:r>
      <w:r>
        <w:rPr>
          <w:rFonts w:ascii="Times New Roman" w:hAnsi="Times New Roman"/>
          <w:b/>
          <w:i w:val="false"/>
          <w:color w:val="000000"/>
          <w:sz w:val="24"/>
        </w:rPr>
        <w:t xml:space="preserve">Completion of a written assessment report. </w:t>
      </w:r>
      <w:r>
        <w:rPr>
          <w:rFonts w:ascii="Times New Roman" w:hAnsi="Times New Roman"/>
          <w:b w:val="false"/>
          <w:i w:val="false"/>
          <w:color w:val="000000"/>
          <w:sz w:val="24"/>
        </w:rPr>
        <w:t>The child protection worker will complete a written assessment report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175.7(1)</w:t>
      </w:r>
      <w:r>
        <w:rPr>
          <w:rFonts w:ascii="Times New Roman" w:hAnsi="Times New Roman"/>
          <w:b w:val="false"/>
          <w:i w:val="false"/>
          <w:color w:val="000000"/>
          <w:sz w:val="24"/>
        </w:rPr>
        <w:t> </w:t>
      </w:r>
      <w:r>
        <w:rPr>
          <w:rFonts w:ascii="Times New Roman" w:hAnsi="Times New Roman"/>
          <w:b w:val="false"/>
          <w:i/>
          <w:color w:val="000000"/>
          <w:sz w:val="24"/>
        </w:rPr>
        <w:t xml:space="preserve">Completion of a child abuse assessment report. </w:t>
      </w:r>
      <w:r>
        <w:rPr>
          <w:rFonts w:ascii="Times New Roman" w:hAnsi="Times New Roman"/>
          <w:b w:val="false"/>
          <w:i w:val="false"/>
          <w:color w:val="000000"/>
          <w:sz w:val="24"/>
        </w:rPr>
        <w:t>A child abuse assessment report will be completed within 20 business days of the receipt of the child abuse report. In most instances, a child abuse assessment report will be developed in conjunction with the child and family being assessed. A child abuse assessment report will consist of two parts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Report and disposition data. </w:t>
      </w:r>
      <w:r>
        <w:rPr>
          <w:rFonts w:ascii="Times New Roman" w:hAnsi="Times New Roman"/>
          <w:b w:val="false"/>
          <w:i w:val="false"/>
          <w:color w:val="000000"/>
          <w:sz w:val="24"/>
        </w:rPr>
        <w:t>A child abuse assessment report will include report and disposition data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Allegations: the report of suspected child abuse that caused the assessment to be initiated and additional allegations raised after the report of suspected child abuse becomes a case that have not been previously investigated or assessed. If the report of suspected child abuse was initially accepted as a family assessment, the reason why it was transferred to a child abuse assessment will be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Evaluation of the child’s safety: evaluation of the child’s safety and the risk for occurrence or reoccurrence of abuse. Criteria to be used in the evaluation of the child’s safety include but are not limited to the severity of the incident or condition, chronicity of the incident or condition, age of the child, attitude of the person alleged responsible, current services or supports, access of the person alleged responsible for the abuse to the child, and protectiveness of the parent or caretaker who is not alleged responsible for the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Findings and contacts: a description of the child’s condition, including identification of the nature, extent, and cause of the injuries, if any, to the child named in the report; identification of the injury or risk to which the child was exposed; the circumstances that led to the injury or risk to the child; the identity of the person alleged to be responsible for the injury or risk to the child; an evaluation of the home environment; the name and condition of other children in the same home as the child named in the report if protective concerns are identified; a list of collateral contacts; and a history of confirmed or founded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Determination regarding the allegations of child abuse: a statement of determination of whether the allegation of child abuse was founded, confirmed but not placed on the central abuse registry, or not confirmed. The statement will include a rationale for placing or not placing the report on the central abuse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Recommendation for services and a statement describing whether services are necessary to ensure the safety of the child or to prevent or remedy other identified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statement will include the type of services recommended, if any, and whether these services are to be provided by the department, a child welfare service contractor, another community organization, other informal supports, or another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services are already being provided, the statement will include a recommendation whether these services should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Juvenile court recommendation: a statement describing whether juvenile court action is necessary to ensure the safety of the child; the type of action needed, if any; and the rationale for the recommendation.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Criminal court recommendation: a statement describing whether criminal court action is necessary and the rationale for the recommendation.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Addendum: An addendum to a child abuse assessment report will be completed within 20 business days when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New information becomes available that would alter the finding, conclusion, or recommendation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Substantive information that supports the finding becomes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subject who was not previously interviewed requests an interview to address the allegations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review or a final appeal decision modifies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Use of assessment data. </w:t>
      </w:r>
      <w:r>
        <w:rPr>
          <w:rFonts w:ascii="Times New Roman" w:hAnsi="Times New Roman"/>
          <w:b w:val="false"/>
          <w:i w:val="false"/>
          <w:color w:val="000000"/>
          <w:sz w:val="24"/>
        </w:rPr>
        <w:t>A safety assessment, family risk assessment, and safety plan, if applicable, may be used as part of the child’s initial case plan for cases in which the department will provide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175.7(2)</w:t>
      </w:r>
      <w:r>
        <w:rPr>
          <w:rFonts w:ascii="Times New Roman" w:hAnsi="Times New Roman"/>
          <w:b w:val="false"/>
          <w:i w:val="false"/>
          <w:color w:val="000000"/>
          <w:sz w:val="24"/>
        </w:rPr>
        <w:t> </w:t>
      </w:r>
      <w:r>
        <w:rPr>
          <w:rFonts w:ascii="Times New Roman" w:hAnsi="Times New Roman"/>
          <w:b w:val="false"/>
          <w:i/>
          <w:color w:val="000000"/>
          <w:sz w:val="24"/>
        </w:rPr>
        <w:t xml:space="preserve">Completion of a family assessment report. </w:t>
      </w:r>
      <w:r>
        <w:rPr>
          <w:rFonts w:ascii="Times New Roman" w:hAnsi="Times New Roman"/>
          <w:b w:val="false"/>
          <w:i w:val="false"/>
          <w:color w:val="000000"/>
          <w:sz w:val="24"/>
        </w:rPr>
        <w:t>A family assessment report will be completed within ten business days of the receipt of the report of suspected child abuse. A family assessment report will consist of assessment data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Assessment data. </w:t>
      </w:r>
      <w:r>
        <w:rPr>
          <w:rFonts w:ascii="Times New Roman" w:hAnsi="Times New Roman"/>
          <w:b w:val="false"/>
          <w:i w:val="false"/>
          <w:color w:val="000000"/>
          <w:sz w:val="24"/>
        </w:rPr>
        <w:t>A family assessment report will include information pertaining to the department’s evaluation of a family, which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Allegations: the report of suspected child abuse that caused the assessment to be initiated and additional allegations raised after the report of suspected child abuse becomes a case that have not been previously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Evaluation of the child’s safety: evaluation of the child’s safety and the risk for occurrence or reoccurrence of abuse. Criteria to be used in the evaluation of the child’s safety include but are not limited to the severity of the incident or condition, chronicity of the incident or condition, age of the child, attitude of the person alleged responsible, current services or supports, access of the person alleged responsible for the abuse to the child, and protectiveness of the parent or caretaker who is not alleged responsible for the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Contacts: description of the circumstances that led to the allegations of abuse; strengths and needs of the child and of the child’s parent, home, and family; any information obtained from others during the assessment; a history of confirmed or founded abuse; and an evaluation of the home environment and evaluation of any other children in the same home as the parents or other persons responsible for the children’s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Recommendation for services and a statement describing whether services are necessary to ensure the safety of the child or to prevent or remedy other identified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statement will include the type of services recommended, if any, and whether these services are to be provided by the department, a child welfare service contractor, another community organization, other informal supports, or another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services are already being provided, the statement will include a recommendation whether these services should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Use of assessment data. </w:t>
      </w:r>
      <w:r>
        <w:rPr>
          <w:rFonts w:ascii="Times New Roman" w:hAnsi="Times New Roman"/>
          <w:b w:val="false"/>
          <w:i w:val="false"/>
          <w:color w:val="000000"/>
          <w:sz w:val="24"/>
        </w:rPr>
        <w:t>A safety assessment, family risk assessment, and safety plan may be used as part of the information referred for any services in which the family voluntarily agrees to participate.</w:t>
      </w:r>
    </w:p>
    <w:p>
      <w:pPr>
        <w:spacing w:before="0" w:after="0" w:line="480"/>
        <w:ind w:left="120"/>
        <w:jc w:val="both"/>
      </w:pPr>
      <w:r>
        <w:rPr>
          <w:rFonts w:ascii="Times New Roman" w:hAnsi="Times New Roman"/>
          <w:b/>
          <w:i w:val="false"/>
          <w:color w:val="000000"/>
          <w:sz w:val="24"/>
        </w:rPr>
        <w:t>441—175.8</w:t>
      </w:r>
      <w:r>
        <w:rPr>
          <w:rFonts w:ascii="Times New Roman" w:hAnsi="Times New Roman"/>
          <w:b/>
          <w:i w:val="false"/>
          <w:color w:val="000000"/>
          <w:sz w:val="24"/>
        </w:rPr>
        <w:t xml:space="preserve">(232) </w:t>
      </w:r>
      <w:r>
        <w:rPr>
          <w:rFonts w:ascii="Times New Roman" w:hAnsi="Times New Roman"/>
          <w:b/>
          <w:i w:val="false"/>
          <w:color w:val="000000"/>
          <w:sz w:val="24"/>
        </w:rPr>
        <w:t xml:space="preserve">Contact with juvenile court or the county attorney. </w:t>
      </w:r>
      <w:r>
        <w:rPr>
          <w:rFonts w:ascii="Times New Roman" w:hAnsi="Times New Roman"/>
          <w:b w:val="false"/>
          <w:i w:val="false"/>
          <w:color w:val="000000"/>
          <w:sz w:val="24"/>
        </w:rPr>
        <w:t>The child protection worker may contact juvenile court or the county attorney, or both, as circumstances warrant.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175.8(1)</w:t>
      </w:r>
      <w:r>
        <w:rPr>
          <w:rFonts w:ascii="Times New Roman" w:hAnsi="Times New Roman"/>
          <w:b w:val="false"/>
          <w:i w:val="false"/>
          <w:color w:val="000000"/>
          <w:sz w:val="24"/>
        </w:rPr>
        <w:t> </w:t>
      </w:r>
      <w:r>
        <w:rPr>
          <w:rFonts w:ascii="Times New Roman" w:hAnsi="Times New Roman"/>
          <w:b w:val="false"/>
          <w:i/>
          <w:color w:val="000000"/>
          <w:sz w:val="24"/>
        </w:rPr>
        <w:t xml:space="preserve">Report of intake. </w:t>
      </w:r>
      <w:r>
        <w:rPr>
          <w:rFonts w:ascii="Times New Roman" w:hAnsi="Times New Roman"/>
          <w:b w:val="false"/>
          <w:i w:val="false"/>
          <w:color w:val="000000"/>
          <w:sz w:val="24"/>
        </w:rPr>
        <w:t>When a report of suspected child abuse is accepted or rejected for assessment, the county attorney will be provided a child protective service intake form with information about the allegation of child abuse and with identifying information about the subjects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175.8(2)</w:t>
      </w:r>
      <w:r>
        <w:rPr>
          <w:rFonts w:ascii="Times New Roman" w:hAnsi="Times New Roman"/>
          <w:b w:val="false"/>
          <w:i w:val="false"/>
          <w:color w:val="000000"/>
          <w:sz w:val="24"/>
        </w:rPr>
        <w:t> </w:t>
      </w:r>
      <w:r>
        <w:rPr>
          <w:rFonts w:ascii="Times New Roman" w:hAnsi="Times New Roman"/>
          <w:b w:val="false"/>
          <w:i/>
          <w:color w:val="000000"/>
          <w:sz w:val="24"/>
        </w:rPr>
        <w:t xml:space="preserve">Report of disposition. </w:t>
      </w:r>
      <w:r>
        <w:rPr>
          <w:rFonts w:ascii="Times New Roman" w:hAnsi="Times New Roman"/>
          <w:b w:val="false"/>
          <w:i w:val="false"/>
          <w:color w:val="000000"/>
          <w:sz w:val="24"/>
        </w:rPr>
        <w:t>The department will provide the juvenile court and the county attorney with a copy of the child abuse assessment report that pertains to the findings, determinations, and recommendations regarding the child abuse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175.8(3)</w:t>
      </w:r>
      <w:r>
        <w:rPr>
          <w:rFonts w:ascii="Times New Roman" w:hAnsi="Times New Roman"/>
          <w:b w:val="false"/>
          <w:i w:val="false"/>
          <w:color w:val="000000"/>
          <w:sz w:val="24"/>
        </w:rPr>
        <w:t> </w:t>
      </w:r>
      <w:r>
        <w:rPr>
          <w:rFonts w:ascii="Times New Roman" w:hAnsi="Times New Roman"/>
          <w:b w:val="false"/>
          <w:i/>
          <w:color w:val="000000"/>
          <w:sz w:val="24"/>
        </w:rPr>
        <w:t xml:space="preserve">Report of assessment. </w:t>
      </w:r>
      <w:r>
        <w:rPr>
          <w:rFonts w:ascii="Times New Roman" w:hAnsi="Times New Roman"/>
          <w:b w:val="false"/>
          <w:i w:val="false"/>
          <w:color w:val="000000"/>
          <w:sz w:val="24"/>
        </w:rPr>
        <w:t>The department will provide the county attorney and the juvenile court with a copy of the family risk assessment, safety assessment, safety plan, and family assessment report when any of the following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County attorney’s or juvenile court’s assistance necessary. </w:t>
      </w:r>
      <w:r>
        <w:rPr>
          <w:rFonts w:ascii="Times New Roman" w:hAnsi="Times New Roman"/>
          <w:b w:val="false"/>
          <w:i w:val="false"/>
          <w:color w:val="000000"/>
          <w:sz w:val="24"/>
        </w:rPr>
        <w:t>The worker requires the court’s or the county attorney’s assistance to complete the assessment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Court’s protection needed. </w:t>
      </w:r>
      <w:r>
        <w:rPr>
          <w:rFonts w:ascii="Times New Roman" w:hAnsi="Times New Roman"/>
          <w:b w:val="false"/>
          <w:i w:val="false"/>
          <w:color w:val="000000"/>
          <w:sz w:val="24"/>
        </w:rPr>
        <w:t>The worker believes that the child requires the court’s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Child adjudicated. </w:t>
      </w:r>
      <w:r>
        <w:rPr>
          <w:rFonts w:ascii="Times New Roman" w:hAnsi="Times New Roman"/>
          <w:b w:val="false"/>
          <w:i w:val="false"/>
          <w:color w:val="000000"/>
          <w:sz w:val="24"/>
        </w:rPr>
        <w:t>The child is currently adjudicated or pending adjudication under a child in need of assistance petition or a delinquency petition.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County attorney or juvenile court requests copy. </w:t>
      </w:r>
      <w:r>
        <w:rPr>
          <w:rFonts w:ascii="Times New Roman" w:hAnsi="Times New Roman"/>
          <w:b w:val="false"/>
          <w:i w:val="false"/>
          <w:color w:val="000000"/>
          <w:sz w:val="24"/>
        </w:rPr>
        <w:t>The county attorney or juvenile court requests a copy of the child abuse assessment data. The child protection worker will document when the assessment data is provided to the county attorney or juvenile court and the rationale provided for the request.</w:t>
      </w:r>
    </w:p>
    <w:p>
      <w:pPr>
        <w:spacing w:before="210" w:after="0" w:line="480"/>
        <w:ind w:left="120"/>
        <w:jc w:val="both"/>
      </w:pPr>
      <w:r>
        <w:rPr>
          <w:rFonts w:ascii="Times New Roman" w:hAnsi="Times New Roman"/>
          <w:b/>
          <w:i w:val="false"/>
          <w:color w:val="000000"/>
          <w:sz w:val="24"/>
        </w:rPr>
        <w:t>441—175.9</w:t>
      </w:r>
      <w:r>
        <w:rPr>
          <w:rFonts w:ascii="Times New Roman" w:hAnsi="Times New Roman"/>
          <w:b/>
          <w:i w:val="false"/>
          <w:color w:val="000000"/>
          <w:sz w:val="24"/>
        </w:rPr>
        <w:t xml:space="preserve">(232) </w:t>
      </w:r>
      <w:r>
        <w:rPr>
          <w:rFonts w:ascii="Times New Roman" w:hAnsi="Times New Roman"/>
          <w:b/>
          <w:i w:val="false"/>
          <w:color w:val="000000"/>
          <w:sz w:val="24"/>
        </w:rPr>
        <w:t xml:space="preserve">Consultation with health practitioners or mental health professionals. </w:t>
      </w:r>
      <w:r>
        <w:rPr>
          <w:rFonts w:ascii="Times New Roman" w:hAnsi="Times New Roman"/>
          <w:b w:val="false"/>
          <w:i w:val="false"/>
          <w:color w:val="000000"/>
          <w:sz w:val="24"/>
        </w:rPr>
        <w:t>The child protection worker may contact a health practitioner or a mental health professional as circumstances warrant and will contact a health practitioner or a mental health professional when the worker requires the assistance of the health practitioner or mental health professional in order to complete the assessment process or when the worker requires the opinion or advice of the health practitioner or mental health professional in order to determine whether the child requires or should have required medical, health or mental health care as a result of suspected abuse.</w:t>
      </w:r>
    </w:p>
    <w:p>
      <w:pPr>
        <w:spacing w:before="0" w:after="0" w:line="480"/>
        <w:ind w:left="120"/>
        <w:jc w:val="both"/>
      </w:pPr>
      <w:r>
        <w:rPr>
          <w:rFonts w:ascii="Times New Roman" w:hAnsi="Times New Roman"/>
          <w:b/>
          <w:i w:val="false"/>
          <w:color w:val="000000"/>
          <w:sz w:val="24"/>
        </w:rPr>
        <w:t>441—175.10</w:t>
      </w:r>
      <w:r>
        <w:rPr>
          <w:rFonts w:ascii="Times New Roman" w:hAnsi="Times New Roman"/>
          <w:b/>
          <w:i w:val="false"/>
          <w:color w:val="000000"/>
          <w:sz w:val="24"/>
        </w:rPr>
        <w:t xml:space="preserve">(232) </w:t>
      </w:r>
      <w:r>
        <w:rPr>
          <w:rFonts w:ascii="Times New Roman" w:hAnsi="Times New Roman"/>
          <w:b/>
          <w:i w:val="false"/>
          <w:color w:val="000000"/>
          <w:sz w:val="24"/>
        </w:rPr>
        <w:t xml:space="preserve">Consultation with law enforcement.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175.10(1)</w:t>
      </w:r>
      <w:r>
        <w:rPr>
          <w:rFonts w:ascii="Times New Roman" w:hAnsi="Times New Roman"/>
          <w:b w:val="false"/>
          <w:i w:val="false"/>
          <w:color w:val="000000"/>
          <w:sz w:val="24"/>
        </w:rPr>
        <w:t> </w:t>
      </w:r>
      <w:r>
        <w:rPr>
          <w:rFonts w:ascii="Times New Roman" w:hAnsi="Times New Roman"/>
          <w:b w:val="false"/>
          <w:i w:val="false"/>
          <w:color w:val="000000"/>
          <w:sz w:val="24"/>
        </w:rPr>
        <w:t>During the course of a child abuse assessment, the child protection worker may contact law enforcement as warranted and will contact law enforcement when the worker believes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abuse reported is more likely than not to result in a criminal investigation and subsequent prosecution.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child needs to be separated from the person responsible for the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Contact by the child protection worker with the family will result in a volatile and dangerous response by the child or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175.10(2)</w:t>
      </w:r>
      <w:r>
        <w:rPr>
          <w:rFonts w:ascii="Times New Roman" w:hAnsi="Times New Roman"/>
          <w:b w:val="false"/>
          <w:i w:val="false"/>
          <w:color w:val="000000"/>
          <w:sz w:val="24"/>
        </w:rPr>
        <w:t> </w:t>
      </w:r>
      <w:r>
        <w:rPr>
          <w:rFonts w:ascii="Times New Roman" w:hAnsi="Times New Roman"/>
          <w:b w:val="false"/>
          <w:i w:val="false"/>
          <w:color w:val="000000"/>
          <w:sz w:val="24"/>
        </w:rPr>
        <w:t>During the course of a family assessment, the child protection worker will not involve law enforcement for the purposes of a joint investigation but will immediately refer any information regarding a criminal act harming a child to the appropriate law enforcement agency.</w:t>
      </w:r>
    </w:p>
    <w:p>
      <w:pPr>
        <w:spacing w:before="210" w:after="0" w:line="480"/>
        <w:ind w:left="120"/>
        <w:jc w:val="both"/>
      </w:pPr>
      <w:r>
        <w:rPr>
          <w:rFonts w:ascii="Times New Roman" w:hAnsi="Times New Roman"/>
          <w:b/>
          <w:i w:val="false"/>
          <w:color w:val="000000"/>
          <w:sz w:val="24"/>
        </w:rPr>
        <w:t>441—175.11</w:t>
      </w:r>
      <w:r>
        <w:rPr>
          <w:rFonts w:ascii="Times New Roman" w:hAnsi="Times New Roman"/>
          <w:b/>
          <w:i w:val="false"/>
          <w:color w:val="000000"/>
          <w:sz w:val="24"/>
        </w:rPr>
        <w:t xml:space="preserve">(232) </w:t>
      </w:r>
      <w:r>
        <w:rPr>
          <w:rFonts w:ascii="Times New Roman" w:hAnsi="Times New Roman"/>
          <w:b/>
          <w:i w:val="false"/>
          <w:color w:val="000000"/>
          <w:sz w:val="24"/>
        </w:rPr>
        <w:t xml:space="preserve">Information shared with law enforcement. </w:t>
      </w:r>
      <w:r>
        <w:rPr>
          <w:rFonts w:ascii="Times New Roman" w:hAnsi="Times New Roman"/>
          <w:b w:val="false"/>
          <w:i w:val="false"/>
          <w:color w:val="000000"/>
          <w:sz w:val="24"/>
        </w:rPr>
        <w:t>When the department is jointly conducting a child abuse assessment with law enforcement personnel, the department may share information gathered during the child abuse assessment process when an assessment is conducted in conjunction with a criminal investigation. When the department has rejected an intake or an intake is accepted for a family assessment, only the information collected at intake (excluding reporter information) may be shared with law enforcement.</w:t>
      </w:r>
    </w:p>
    <w:p>
      <w:pPr>
        <w:spacing w:before="0" w:after="0" w:line="480"/>
        <w:ind w:left="120"/>
        <w:jc w:val="both"/>
      </w:pPr>
      <w:r>
        <w:rPr>
          <w:rFonts w:ascii="Times New Roman" w:hAnsi="Times New Roman"/>
          <w:b/>
          <w:i w:val="false"/>
          <w:color w:val="000000"/>
          <w:sz w:val="24"/>
        </w:rPr>
        <w:t>441—175.12</w:t>
      </w:r>
      <w:r>
        <w:rPr>
          <w:rFonts w:ascii="Times New Roman" w:hAnsi="Times New Roman"/>
          <w:b/>
          <w:i w:val="false"/>
          <w:color w:val="000000"/>
          <w:sz w:val="24"/>
        </w:rPr>
        <w:t xml:space="preserve">(232) </w:t>
      </w:r>
      <w:r>
        <w:rPr>
          <w:rFonts w:ascii="Times New Roman" w:hAnsi="Times New Roman"/>
          <w:b/>
          <w:i w:val="false"/>
          <w:color w:val="000000"/>
          <w:sz w:val="24"/>
        </w:rPr>
        <w:t xml:space="preserve">Completion of required correspondence.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175.12(1)</w:t>
      </w:r>
      <w:r>
        <w:rPr>
          <w:rFonts w:ascii="Times New Roman" w:hAnsi="Times New Roman"/>
          <w:b w:val="false"/>
          <w:i w:val="false"/>
          <w:color w:val="000000"/>
          <w:sz w:val="24"/>
        </w:rPr>
        <w:t> </w:t>
      </w:r>
      <w:r>
        <w:rPr>
          <w:rFonts w:ascii="Times New Roman" w:hAnsi="Times New Roman"/>
          <w:b w:val="false"/>
          <w:i/>
          <w:color w:val="000000"/>
          <w:sz w:val="24"/>
        </w:rPr>
        <w:t xml:space="preserve">Notification to parents that an assessment is being conducted. </w:t>
      </w:r>
      <w:r>
        <w:rPr>
          <w:rFonts w:ascii="Times New Roman" w:hAnsi="Times New Roman"/>
          <w:b w:val="false"/>
          <w:i w:val="false"/>
          <w:color w:val="000000"/>
          <w:sz w:val="24"/>
        </w:rPr>
        <w:t>Written notice will be provided to the parents of a child who is the subject of an assessment within five working days of commencing an assessment. Both custodial and noncustodial parents will be notified, if their whereabouts are known. If it is believed that notification will result in danger to the child or others, an emergency order to prohibit parental notification will be sought from juvenile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175.12(2)</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completion of assessment and right to request correction. </w:t>
      </w:r>
      <w:r>
        <w:rPr>
          <w:rFonts w:ascii="Times New Roman" w:hAnsi="Times New Roman"/>
          <w:b w:val="false"/>
          <w:i w:val="false"/>
          <w:color w:val="000000"/>
          <w:sz w:val="24"/>
        </w:rPr>
        <w:t>Written or electronic notice that indicates that the child abuse assessment is completed will be provided to all subjects of a child abuse assessment and to the mandatory reporter who made the report of child abuse. Both custodial and noncustodial parents will be notified if their whereabouts are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will contain the following information pursuant to Iowa Code section </w:t>
      </w:r>
      <w:hyperlink r:id="rId25">
        <w:r>
          <w:rPr>
            <w:rStyle w:val="Hyperlink"/>
            <w:rFonts w:ascii="Times New Roman" w:hAnsi="Times New Roman"/>
            <w:b w:val="false"/>
            <w:i w:val="false"/>
            <w:color w:val="000000"/>
            <w:sz w:val="24"/>
          </w:rPr>
          <w:t>235A.19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subject may request correction of the information contained within the child abuse assessment report if the subject disagrees with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person named responsible for the abuse has the right to appeal if the department does not correct the data or findings as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subject, other than the person named responsible for the abuse, has the opportunity to file a motion to intervene in an appeal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child abuse assessment results in a determination that abuse is confirmed, the notice will indicate the type of abuse, name of the child and name of the person responsible for the abuse and whether the report has been placed on the central abuse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written or electronic notice to the parent or guardian of each child listed in the family assessment report of the completion of the assessment and review any service recommendations. Because no determination concerning child abuse or neglect is made and nothing is reported to the central abuse registry, a subject of a family assessment will not be afforded the opportunity for a contested case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175.12(3)</w:t>
      </w:r>
      <w:r>
        <w:rPr>
          <w:rFonts w:ascii="Times New Roman" w:hAnsi="Times New Roman"/>
          <w:b w:val="false"/>
          <w:i w:val="false"/>
          <w:color w:val="000000"/>
          <w:sz w:val="24"/>
        </w:rPr>
        <w:t> </w:t>
      </w:r>
      <w:r>
        <w:rPr>
          <w:rFonts w:ascii="Times New Roman" w:hAnsi="Times New Roman"/>
          <w:b w:val="false"/>
          <w:i/>
          <w:color w:val="000000"/>
          <w:sz w:val="24"/>
        </w:rPr>
        <w:t xml:space="preserve">Notification to relatives that a child has been removed. </w:t>
      </w:r>
      <w:r>
        <w:rPr>
          <w:rFonts w:ascii="Times New Roman" w:hAnsi="Times New Roman"/>
          <w:b w:val="false"/>
          <w:i w:val="false"/>
          <w:color w:val="000000"/>
          <w:sz w:val="24"/>
        </w:rPr>
        <w:t xml:space="preserve">The department will exercise due diligence in identifying and providing written or electronic notice to relatives within 30 days after an order removing a child from the custody of a parent or parents of the child pursuant to Iowa Code section </w:t>
      </w:r>
      <w:hyperlink r:id="rId26">
        <w:r>
          <w:rPr>
            <w:rStyle w:val="Hyperlink"/>
            <w:rFonts w:ascii="Times New Roman" w:hAnsi="Times New Roman"/>
            <w:b w:val="false"/>
            <w:i w:val="false"/>
            <w:color w:val="000000"/>
            <w:sz w:val="24"/>
          </w:rPr>
          <w:t>232.84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175.12(4)</w:t>
      </w:r>
      <w:r>
        <w:rPr>
          <w:rFonts w:ascii="Times New Roman" w:hAnsi="Times New Roman"/>
          <w:b w:val="false"/>
          <w:i w:val="false"/>
          <w:color w:val="000000"/>
          <w:sz w:val="24"/>
        </w:rPr>
        <w:t> </w:t>
      </w:r>
      <w:r>
        <w:rPr>
          <w:rFonts w:ascii="Times New Roman" w:hAnsi="Times New Roman"/>
          <w:b w:val="false"/>
          <w:i/>
          <w:color w:val="000000"/>
          <w:sz w:val="24"/>
        </w:rPr>
        <w:t xml:space="preserve">Notification to department staff. </w:t>
      </w:r>
      <w:r>
        <w:rPr>
          <w:rFonts w:ascii="Times New Roman" w:hAnsi="Times New Roman"/>
          <w:b w:val="false"/>
          <w:i w:val="false"/>
          <w:color w:val="000000"/>
          <w:sz w:val="24"/>
        </w:rPr>
        <w:t>When the department staff are the mandatory reporters to an assessment, the department will issue the following notices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Notice of intake decision as required under Iowa Code section </w:t>
      </w:r>
      <w:hyperlink r:id="rId27">
        <w:r>
          <w:rPr>
            <w:rStyle w:val="Hyperlink"/>
            <w:rFonts w:ascii="Times New Roman" w:hAnsi="Times New Roman"/>
            <w:b w:val="false"/>
            <w:i w:val="false"/>
            <w:color w:val="000000"/>
            <w:sz w:val="24"/>
          </w:rPr>
          <w:t>232.70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Outcome notice pursuant to Iowa Code sections </w:t>
      </w:r>
      <w:hyperlink r:id="rId28">
        <w:r>
          <w:rPr>
            <w:rStyle w:val="Hyperlink"/>
            <w:rFonts w:ascii="Times New Roman" w:hAnsi="Times New Roman"/>
            <w:b w:val="false"/>
            <w:i w:val="false"/>
            <w:color w:val="000000"/>
            <w:sz w:val="24"/>
          </w:rPr>
          <w:t>232.71B</w:t>
        </w:r>
      </w:hyperlink>
      <w:r>
        <w:rPr>
          <w:rFonts w:ascii="Times New Roman" w:hAnsi="Times New Roman"/>
          <w:b w:val="false"/>
          <w:i w:val="false"/>
          <w:color w:val="000000"/>
          <w:sz w:val="24"/>
        </w:rPr>
        <w:t xml:space="preserve">, </w:t>
      </w:r>
      <w:hyperlink r:id="rId29">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235A.17(2)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441—175.13</w:t>
      </w:r>
      <w:r>
        <w:rPr>
          <w:rFonts w:ascii="Times New Roman" w:hAnsi="Times New Roman"/>
          <w:b/>
          <w:i w:val="false"/>
          <w:color w:val="000000"/>
          <w:sz w:val="24"/>
        </w:rPr>
        <w:t xml:space="preserve">(232,235A) </w:t>
      </w:r>
      <w:r>
        <w:rPr>
          <w:rFonts w:ascii="Times New Roman" w:hAnsi="Times New Roman"/>
          <w:b/>
          <w:i w:val="false"/>
          <w:color w:val="000000"/>
          <w:sz w:val="24"/>
        </w:rPr>
        <w:t xml:space="preserve">Case records. </w:t>
      </w:r>
      <w:r>
        <w:rPr>
          <w:rFonts w:ascii="Times New Roman" w:hAnsi="Times New Roman"/>
          <w:b w:val="false"/>
          <w:i w:val="false"/>
          <w:color w:val="000000"/>
          <w:sz w:val="24"/>
        </w:rPr>
        <w:t>The assessment case record will contain the assessment report and any related correspondence or information that pertains to the assessment or to the child and family. The name of the person who made the report of child abuse will not be disclosed.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175.13(1)</w:t>
      </w:r>
      <w:r>
        <w:rPr>
          <w:rFonts w:ascii="Times New Roman" w:hAnsi="Times New Roman"/>
          <w:b w:val="false"/>
          <w:i w:val="false"/>
          <w:color w:val="000000"/>
          <w:sz w:val="24"/>
        </w:rPr>
        <w:t> </w:t>
      </w:r>
      <w:r>
        <w:rPr>
          <w:rFonts w:ascii="Times New Roman" w:hAnsi="Times New Roman"/>
          <w:b w:val="false"/>
          <w:i/>
          <w:color w:val="000000"/>
          <w:sz w:val="24"/>
        </w:rPr>
        <w:t xml:space="preserve">Child abuse assessment report. </w:t>
      </w:r>
      <w:r>
        <w:rPr>
          <w:rFonts w:ascii="Times New Roman" w:hAnsi="Times New Roman"/>
          <w:b w:val="false"/>
          <w:i w:val="false"/>
          <w:color w:val="000000"/>
          <w:sz w:val="24"/>
        </w:rPr>
        <w:t>A child abuse assessment report has two parts.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 and disposition data. Subjects of the report have access to report and disposition data, including, where applicable, confirmation of placement on the central abuse registry for abuse reports meeting the criteria pursuant to Iowa Code section </w:t>
      </w:r>
      <w:hyperlink r:id="rId31">
        <w:r>
          <w:rPr>
            <w:rStyle w:val="Hyperlink"/>
            <w:rFonts w:ascii="Times New Roman" w:hAnsi="Times New Roman"/>
            <w:b w:val="false"/>
            <w:i w:val="false"/>
            <w:color w:val="000000"/>
            <w:sz w:val="24"/>
          </w:rPr>
          <w:t>232.71D</w:t>
        </w:r>
      </w:hyperlink>
      <w:r>
        <w:rPr>
          <w:rFonts w:ascii="Times New Roman" w:hAnsi="Times New Roman"/>
          <w:b w:val="false"/>
          <w:i w:val="false"/>
          <w:color w:val="000000"/>
          <w:sz w:val="24"/>
        </w:rPr>
        <w:t xml:space="preserve">. A child abuse assessment report will be submitted to the central abuse registry only if the abuse is confirmed and determined to meet the criteria pursuant to Iowa Code section </w:t>
      </w:r>
      <w:hyperlink r:id="rId32">
        <w:r>
          <w:rPr>
            <w:rStyle w:val="Hyperlink"/>
            <w:rFonts w:ascii="Times New Roman" w:hAnsi="Times New Roman"/>
            <w:b w:val="false"/>
            <w:i w:val="false"/>
            <w:color w:val="000000"/>
            <w:sz w:val="24"/>
          </w:rPr>
          <w:t>232.71D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Assessment data will be available to subjects. Release of assessment data will be accomplished only when the parent or guardian approves the release. Assessment data will not be submitted to the central abuse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175.13(2)</w:t>
      </w:r>
      <w:r>
        <w:rPr>
          <w:rFonts w:ascii="Times New Roman" w:hAnsi="Times New Roman"/>
          <w:b w:val="false"/>
          <w:i w:val="false"/>
          <w:color w:val="000000"/>
          <w:sz w:val="24"/>
        </w:rPr>
        <w:t> </w:t>
      </w:r>
      <w:r>
        <w:rPr>
          <w:rFonts w:ascii="Times New Roman" w:hAnsi="Times New Roman"/>
          <w:b w:val="false"/>
          <w:i/>
          <w:color w:val="000000"/>
          <w:sz w:val="24"/>
        </w:rPr>
        <w:t xml:space="preserve">Family assessment report. </w:t>
      </w:r>
      <w:r>
        <w:rPr>
          <w:rFonts w:ascii="Times New Roman" w:hAnsi="Times New Roman"/>
          <w:b w:val="false"/>
          <w:i w:val="false"/>
          <w:color w:val="000000"/>
          <w:sz w:val="24"/>
        </w:rPr>
        <w:t xml:space="preserve">A family assessment report includes assessment data only. Assessment data will be available to subjects. Release of assessment data will be accomplished only when the parent or guardian of a child named in a family assessment report approves the release as provided in Iowa Code section </w:t>
      </w:r>
      <w:hyperlink r:id="rId33">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or as specified in Iowa Code section </w:t>
      </w:r>
      <w:hyperlink r:id="rId34">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 Assessment data will not be submitted to the central abuse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175.13(3)</w:t>
      </w:r>
      <w:r>
        <w:rPr>
          <w:rFonts w:ascii="Times New Roman" w:hAnsi="Times New Roman"/>
          <w:b w:val="false"/>
          <w:i w:val="false"/>
          <w:color w:val="000000"/>
          <w:sz w:val="24"/>
        </w:rPr>
        <w:t> </w:t>
      </w:r>
      <w:r>
        <w:rPr>
          <w:rFonts w:ascii="Times New Roman" w:hAnsi="Times New Roman"/>
          <w:b w:val="false"/>
          <w:i/>
          <w:color w:val="000000"/>
          <w:sz w:val="24"/>
        </w:rPr>
        <w:t xml:space="preserve">Child abuse assessments where abuse was confirmed but not placed on the central abuse registry. </w:t>
      </w:r>
      <w:r>
        <w:rPr>
          <w:rFonts w:ascii="Times New Roman" w:hAnsi="Times New Roman"/>
          <w:b w:val="false"/>
          <w:i w:val="false"/>
          <w:color w:val="000000"/>
          <w:sz w:val="24"/>
        </w:rPr>
        <w:t>The following conditions apply to case records for assessments in which abuse was confirmed but not placed on the central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Access to the report data and disposition data is authorized only to the subjects of the report, the child protection worker, the law enforcement officer responsible for assisting in the assessment or for the temporary emergency removal of a child from the child’s home, the multidisciplinary team assisting the department in the assessment of the abuse, the county attorney, juvenile court, a person or agency responsible for the care of the child if the department or juvenile court determines that access is necessary, the department or contract personnel necessary for official duties, the department of justice, and the attorney for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child abuse assessment is retained for five years from the date of intake or five years from the date of closure of the service record, whichever occurs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 abuse assessment report is subject to the confidentiality provisions of Iowa Code section </w:t>
      </w:r>
      <w:hyperlink r:id="rId35">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No confidential information will be released without consent except where there is otherwise authorized access to information as specified in the provisions of Iowa Code section </w:t>
      </w:r>
      <w:hyperlink r:id="rId36">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175.13(4)</w:t>
      </w:r>
      <w:r>
        <w:rPr>
          <w:rFonts w:ascii="Times New Roman" w:hAnsi="Times New Roman"/>
          <w:b w:val="false"/>
          <w:i w:val="false"/>
          <w:color w:val="000000"/>
          <w:sz w:val="24"/>
        </w:rPr>
        <w:t> </w:t>
      </w:r>
      <w:r>
        <w:rPr>
          <w:rFonts w:ascii="Times New Roman" w:hAnsi="Times New Roman"/>
          <w:b w:val="false"/>
          <w:i/>
          <w:color w:val="000000"/>
          <w:sz w:val="24"/>
        </w:rPr>
        <w:t xml:space="preserve">Child abuse assessments not placed on the central abuse registry where abuse was not confirmed. </w:t>
      </w:r>
      <w:r>
        <w:rPr>
          <w:rFonts w:ascii="Times New Roman" w:hAnsi="Times New Roman"/>
          <w:b w:val="false"/>
          <w:i w:val="false"/>
          <w:color w:val="000000"/>
          <w:sz w:val="24"/>
        </w:rPr>
        <w:t>The following conditions apply to case records for assessments in which abuse was not confirmed and not placed on the central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Access to the assessment data on a child abuse assessment summary where abuse was not determined to have occurred and, therefore, the assessment was not placed on the central abuse registry is authorized only to the subjects of the assessment, the child protection worker, the county attorney, juvenile court, a person or agency responsible for the care of the child if the department or juvenile court determines that access is necessary, the department of justice, and department or contract personnel necessary for official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Records are retained for five years from the date of intake or five years from the date of closure of the service record, whichever occurs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child abuse assessment report is subject to the confidentiality provisions of Iowa Code section </w:t>
      </w:r>
      <w:hyperlink r:id="rId37">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No confidential information will be released without consent except where there is otherwise authorized access to information as specified in the provisions of Iowa Code section </w:t>
      </w:r>
      <w:hyperlink r:id="rId38">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175.13(5)</w:t>
      </w:r>
      <w:r>
        <w:rPr>
          <w:rFonts w:ascii="Times New Roman" w:hAnsi="Times New Roman"/>
          <w:b w:val="false"/>
          <w:i w:val="false"/>
          <w:color w:val="000000"/>
          <w:sz w:val="24"/>
        </w:rPr>
        <w:t> </w:t>
      </w:r>
      <w:r>
        <w:rPr>
          <w:rFonts w:ascii="Times New Roman" w:hAnsi="Times New Roman"/>
          <w:b w:val="false"/>
          <w:i/>
          <w:color w:val="000000"/>
          <w:sz w:val="24"/>
        </w:rPr>
        <w:t xml:space="preserve">Family assessment. </w:t>
      </w:r>
      <w:r>
        <w:rPr>
          <w:rFonts w:ascii="Times New Roman" w:hAnsi="Times New Roman"/>
          <w:b w:val="false"/>
          <w:i w:val="false"/>
          <w:color w:val="000000"/>
          <w:sz w:val="24"/>
        </w:rPr>
        <w:t>The following conditions apply to case records for all family assessments: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Access to the assessment data on a family assessment report is authorized only to the subjects of the assessment, the child protection worker, a person or agency responsible for the care of the child if the department or juvenile court determines that access is necessary, the department of justice, and department or contract personnel necessary for official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Records are retained for five years from the date of intake or five years from the date of closure of the service record, whichever occurs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family assessment report is subject to the confidentiality provisions of Iowa Code section </w:t>
      </w:r>
      <w:hyperlink r:id="rId39">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xml:space="preserve">. No confidential information will be released without consent except where there is otherwise authorized access to information as specified in the provisions of Iowa Code section </w:t>
      </w:r>
      <w:hyperlink r:id="rId40">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441—175.14</w:t>
      </w:r>
      <w:r>
        <w:rPr>
          <w:rFonts w:ascii="Times New Roman" w:hAnsi="Times New Roman"/>
          <w:b/>
          <w:i w:val="false"/>
          <w:color w:val="000000"/>
          <w:sz w:val="24"/>
        </w:rPr>
        <w:t xml:space="preserve">(232,235A) </w:t>
      </w:r>
      <w:r>
        <w:rPr>
          <w:rFonts w:ascii="Times New Roman" w:hAnsi="Times New Roman"/>
          <w:b/>
          <w:i w:val="false"/>
          <w:color w:val="000000"/>
          <w:sz w:val="24"/>
        </w:rPr>
        <w:t xml:space="preserve">Child protection centers. </w:t>
      </w:r>
      <w:r>
        <w:rPr>
          <w:rFonts w:ascii="Times New Roman" w:hAnsi="Times New Roman"/>
          <w:b w:val="false"/>
          <w:i w:val="false"/>
          <w:color w:val="000000"/>
          <w:sz w:val="24"/>
        </w:rPr>
        <w:t xml:space="preserve">The department may contract with designated child protection centers for assistance in conducting child abuse assessments. When a child who is the subject of an assessment is interviewed by staff at a child protection center, that interview may be used in conjunction with an interview conducted by the child protection worker. Written reports developed by the child protection center shall be provided to the child protection worker and may be included in the assessment case record. Video or audio records are considered to be part of the assessment process and shall be maintained by the child protection center under the same confidentiality provisions of Iowa Code section </w:t>
      </w:r>
      <w:hyperlink r:id="rId41">
        <w:r>
          <w:rPr>
            <w:rStyle w:val="Hyperlink"/>
            <w:rFonts w:ascii="Times New Roman" w:hAnsi="Times New Roman"/>
            <w:b w:val="false"/>
            <w:i w:val="false"/>
            <w:color w:val="000000"/>
            <w:sz w:val="24"/>
          </w:rPr>
          <w:t>217.30</w:t>
        </w:r>
      </w:hyperlink>
      <w:r>
        <w:rPr>
          <w:rFonts w:ascii="Times New Roman" w:hAnsi="Times New Roman"/>
          <w:b w:val="false"/>
          <w:i w:val="false"/>
          <w:color w:val="000000"/>
          <w:sz w:val="24"/>
        </w:rPr>
        <w:t>. Services or assistance from a child protection center will not be available through a family assessment.</w:t>
      </w:r>
    </w:p>
    <w:p>
      <w:pPr>
        <w:spacing w:before="210" w:after="0" w:line="480"/>
        <w:ind w:left="120"/>
        <w:jc w:val="both"/>
      </w:pPr>
      <w:r>
        <w:rPr>
          <w:rFonts w:ascii="Times New Roman" w:hAnsi="Times New Roman"/>
          <w:b/>
          <w:i w:val="false"/>
          <w:color w:val="000000"/>
          <w:sz w:val="24"/>
        </w:rPr>
        <w:t>441—175.15</w:t>
      </w:r>
      <w:r>
        <w:rPr>
          <w:rFonts w:ascii="Times New Roman" w:hAnsi="Times New Roman"/>
          <w:b/>
          <w:i w:val="false"/>
          <w:color w:val="000000"/>
          <w:sz w:val="24"/>
        </w:rPr>
        <w:t xml:space="preserve">(232) </w:t>
      </w:r>
      <w:r>
        <w:rPr>
          <w:rFonts w:ascii="Times New Roman" w:hAnsi="Times New Roman"/>
          <w:b/>
          <w:i w:val="false"/>
          <w:color w:val="000000"/>
          <w:sz w:val="24"/>
        </w:rPr>
        <w:t xml:space="preserve">Department-operated facilities. </w:t>
      </w:r>
      <w:r>
        <w:rPr>
          <w:rFonts w:ascii="Times New Roman" w:hAnsi="Times New Roman"/>
          <w:b w:val="false"/>
          <w:i w:val="false"/>
          <w:color w:val="000000"/>
          <w:sz w:val="24"/>
        </w:rPr>
        <w:t>When an allegation of child abuse occurs at a department-operated facility, the allegation will be referred to the department of inspections, appeals, and licensing for investigation or assessment.</w:t>
      </w:r>
    </w:p>
    <w:p>
      <w:pPr>
        <w:spacing w:before="0" w:after="0" w:line="480"/>
        <w:ind w:left="120"/>
        <w:jc w:val="both"/>
      </w:pPr>
      <w:r>
        <w:rPr>
          <w:rFonts w:ascii="Times New Roman" w:hAnsi="Times New Roman"/>
          <w:b/>
          <w:i w:val="false"/>
          <w:color w:val="000000"/>
          <w:sz w:val="24"/>
        </w:rPr>
        <w:t>441—175.16</w:t>
      </w:r>
      <w:r>
        <w:rPr>
          <w:rFonts w:ascii="Times New Roman" w:hAnsi="Times New Roman"/>
          <w:b/>
          <w:i w:val="false"/>
          <w:color w:val="000000"/>
          <w:sz w:val="24"/>
        </w:rPr>
        <w:t xml:space="preserve">(232,235A) </w:t>
      </w:r>
      <w:r>
        <w:rPr>
          <w:rFonts w:ascii="Times New Roman" w:hAnsi="Times New Roman"/>
          <w:b/>
          <w:i w:val="false"/>
          <w:color w:val="000000"/>
          <w:sz w:val="24"/>
        </w:rPr>
        <w:t xml:space="preserve">Jurisdiction of assessments. </w:t>
      </w:r>
      <w:r>
        <w:rPr>
          <w:rFonts w:ascii="Times New Roman" w:hAnsi="Times New Roman"/>
          <w:b w:val="false"/>
          <w:i w:val="false"/>
          <w:color w:val="000000"/>
          <w:sz w:val="24"/>
        </w:rPr>
        <w:t>Child protection workers serving the county in which the child’s home is located have primary responsibility for completing the assessment except when the suspected abuse occurs in an out-of-home placement. Circumstances in which the department will conduct an assessment when another state is involved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175.16(1)</w:t>
      </w:r>
      <w:r>
        <w:rPr>
          <w:rFonts w:ascii="Times New Roman" w:hAnsi="Times New Roman"/>
          <w:b w:val="false"/>
          <w:i w:val="false"/>
          <w:color w:val="000000"/>
          <w:sz w:val="24"/>
        </w:rPr>
        <w:t> </w:t>
      </w:r>
      <w:r>
        <w:rPr>
          <w:rFonts w:ascii="Times New Roman" w:hAnsi="Times New Roman"/>
          <w:b w:val="false"/>
          <w:i/>
          <w:color w:val="000000"/>
          <w:sz w:val="24"/>
        </w:rPr>
        <w:t xml:space="preserve">Child resides in Iowa but incident occurred in another state. </w:t>
      </w:r>
      <w:r>
        <w:rPr>
          <w:rFonts w:ascii="Times New Roman" w:hAnsi="Times New Roman"/>
          <w:b w:val="false"/>
          <w:i w:val="false"/>
          <w:color w:val="000000"/>
          <w:sz w:val="24"/>
        </w:rPr>
        <w:t>When the child who is the subject of a report of suspected abuse physically resides in Iowa but has allegedly been abused in another state, the worker will do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Obtain available information from the reporter.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Make a report to the office of the other state’s protective services agency and request assistance from the other state in completing the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Complete the assessment with assistance, as available, of the 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175.16(2)</w:t>
      </w:r>
      <w:r>
        <w:rPr>
          <w:rFonts w:ascii="Times New Roman" w:hAnsi="Times New Roman"/>
          <w:b w:val="false"/>
          <w:i w:val="false"/>
          <w:color w:val="000000"/>
          <w:sz w:val="24"/>
        </w:rPr>
        <w:t> </w:t>
      </w:r>
      <w:r>
        <w:rPr>
          <w:rFonts w:ascii="Times New Roman" w:hAnsi="Times New Roman"/>
          <w:b w:val="false"/>
          <w:i/>
          <w:color w:val="000000"/>
          <w:sz w:val="24"/>
        </w:rPr>
        <w:t xml:space="preserve">Child resides in another state, but is present within Iowa. </w:t>
      </w:r>
      <w:r>
        <w:rPr>
          <w:rFonts w:ascii="Times New Roman" w:hAnsi="Times New Roman"/>
          <w:b w:val="false"/>
          <w:i w:val="false"/>
          <w:color w:val="000000"/>
          <w:sz w:val="24"/>
        </w:rPr>
        <w:t>When the child who is the subject of a report of abuse is a legal resident of another state, but is present within Iowa, the worker receiving the report will do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Act to ensure the safety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Contact the child’s state of legal residency to coordinate the assessment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Commence an assessment if the state of legal residency declines to conduct an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175.16(3)</w:t>
      </w:r>
      <w:r>
        <w:rPr>
          <w:rFonts w:ascii="Times New Roman" w:hAnsi="Times New Roman"/>
          <w:b w:val="false"/>
          <w:i w:val="false"/>
          <w:color w:val="000000"/>
          <w:sz w:val="24"/>
        </w:rPr>
        <w:t> </w:t>
      </w:r>
      <w:r>
        <w:rPr>
          <w:rFonts w:ascii="Times New Roman" w:hAnsi="Times New Roman"/>
          <w:b w:val="false"/>
          <w:i/>
          <w:color w:val="000000"/>
          <w:sz w:val="24"/>
        </w:rPr>
        <w:t xml:space="preserve">Child resides in another state and perpetrator resides in Iowa. </w:t>
      </w:r>
      <w:r>
        <w:rPr>
          <w:rFonts w:ascii="Times New Roman" w:hAnsi="Times New Roman"/>
          <w:b w:val="false"/>
          <w:i w:val="false"/>
          <w:color w:val="000000"/>
          <w:sz w:val="24"/>
        </w:rPr>
        <w:t>When the child who is the subject of a report of abuse resides in another state and the perpetrator resides in Iowa, the worker receiving the report will do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Contact the state where the child resides and offer assistance to that state in its completion of a child abuse assessment. This assistance will include an offer to interview the person allegedly responsible for the abuse and any other relevant source of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Commence an assessment if the child’s state of legal residency declines to conduct an investigation.</w:t>
      </w:r>
    </w:p>
    <w:p>
      <w:pPr>
        <w:spacing w:before="0" w:after="0" w:line="480"/>
        <w:ind w:left="120"/>
        <w:jc w:val="both"/>
      </w:pPr>
      <w:r>
        <w:rPr>
          <w:rFonts w:ascii="Times New Roman" w:hAnsi="Times New Roman"/>
          <w:b/>
          <w:i w:val="false"/>
          <w:color w:val="000000"/>
          <w:sz w:val="24"/>
        </w:rPr>
        <w:t>441—175.17</w:t>
      </w:r>
      <w:r>
        <w:rPr>
          <w:rFonts w:ascii="Times New Roman" w:hAnsi="Times New Roman"/>
          <w:b/>
          <w:i w:val="false"/>
          <w:color w:val="000000"/>
          <w:sz w:val="24"/>
        </w:rPr>
        <w:t xml:space="preserve">(235A) </w:t>
      </w:r>
      <w:r>
        <w:rPr>
          <w:rFonts w:ascii="Times New Roman" w:hAnsi="Times New Roman"/>
          <w:b/>
          <w:i w:val="false"/>
          <w:color w:val="000000"/>
          <w:sz w:val="24"/>
        </w:rPr>
        <w:t xml:space="preserve">Multidisciplinary teams. </w:t>
      </w:r>
      <w:r>
        <w:rPr>
          <w:rFonts w:ascii="Times New Roman" w:hAnsi="Times New Roman"/>
          <w:b w:val="false"/>
          <w:i w:val="false"/>
          <w:color w:val="000000"/>
          <w:sz w:val="24"/>
        </w:rPr>
        <w:t>Multidisciplinary teams will be developed in county or multicounty areas in which more than 50 child abuse cases are received annually. These teams may be used as an advisory group to assist the department in conducting child abuse assessments. Multidisciplinary teams consist of professionals practicing in the disciplines of medicine, public health, mental health, social work, child development, education, law, juvenile probation, law enforcement, nursing, and substance abuse counseling. Members of multidisciplinary teams shall maintain confidentiality of cases in which they provide consultation. Rejected intakes will not be shared with multidisciplinary teams since the rejected intakes are not considered to be child abuse information. During the course of a child abuse assessment, information regarding the initial report of child abuse and information related to the child and family functioning may be shared with the multidisciplinary team. After a conclusion is made, only report data and disposition data on confirmed cases of child abuse may be shared with the team members. When the multidisciplinary team is created, all team members shall execute an agreement, filed with the central abuse registry, that specifies: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175.17(1)</w:t>
      </w:r>
      <w:r>
        <w:rPr>
          <w:rFonts w:ascii="Times New Roman" w:hAnsi="Times New Roman"/>
          <w:b w:val="false"/>
          <w:i w:val="false"/>
          <w:color w:val="000000"/>
          <w:sz w:val="24"/>
        </w:rPr>
        <w:t> </w:t>
      </w:r>
      <w:r>
        <w:rPr>
          <w:rFonts w:ascii="Times New Roman" w:hAnsi="Times New Roman"/>
          <w:b w:val="false"/>
          <w:i/>
          <w:color w:val="000000"/>
          <w:sz w:val="24"/>
        </w:rPr>
        <w:t xml:space="preserve">Consultation. </w:t>
      </w:r>
      <w:r>
        <w:rPr>
          <w:rFonts w:ascii="Times New Roman" w:hAnsi="Times New Roman"/>
          <w:b w:val="false"/>
          <w:i w:val="false"/>
          <w:color w:val="000000"/>
          <w:sz w:val="24"/>
        </w:rPr>
        <w:t>The team will be consulted solely for the purpose of assisting the department in the child abuse assessment and diagnosis of child abuse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175.17(2)</w:t>
      </w:r>
      <w:r>
        <w:rPr>
          <w:rFonts w:ascii="Times New Roman" w:hAnsi="Times New Roman"/>
          <w:b w:val="false"/>
          <w:i w:val="false"/>
          <w:color w:val="000000"/>
          <w:sz w:val="24"/>
        </w:rPr>
        <w:t> </w:t>
      </w:r>
      <w:r>
        <w:rPr>
          <w:rFonts w:ascii="Times New Roman" w:hAnsi="Times New Roman"/>
          <w:b w:val="false"/>
          <w:i/>
          <w:color w:val="000000"/>
          <w:sz w:val="24"/>
        </w:rPr>
        <w:t xml:space="preserve">Redissemination. </w:t>
      </w:r>
      <w:r>
        <w:rPr>
          <w:rFonts w:ascii="Times New Roman" w:hAnsi="Times New Roman"/>
          <w:b w:val="false"/>
          <w:i w:val="false"/>
          <w:color w:val="000000"/>
          <w:sz w:val="24"/>
        </w:rPr>
        <w:t xml:space="preserve">No team member shall redisseminate child abuse information obtained through the multidisciplinary team. This does not preclude redissemination of information as authorized by Iowa Code section </w:t>
      </w:r>
      <w:hyperlink r:id="rId42">
        <w:r>
          <w:rPr>
            <w:rStyle w:val="Hyperlink"/>
            <w:rFonts w:ascii="Times New Roman" w:hAnsi="Times New Roman"/>
            <w:b w:val="false"/>
            <w:i w:val="false"/>
            <w:color w:val="000000"/>
            <w:sz w:val="24"/>
          </w:rPr>
          <w:t>235A.17</w:t>
        </w:r>
      </w:hyperlink>
      <w:r>
        <w:rPr>
          <w:rFonts w:ascii="Times New Roman" w:hAnsi="Times New Roman"/>
          <w:b w:val="false"/>
          <w:i w:val="false"/>
          <w:color w:val="000000"/>
          <w:sz w:val="24"/>
        </w:rPr>
        <w:t xml:space="preserve"> when an individual team member has received information as a result of another authorized access provision of the Iowa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175.17(3)</w:t>
      </w:r>
      <w:r>
        <w:rPr>
          <w:rFonts w:ascii="Times New Roman" w:hAnsi="Times New Roman"/>
          <w:b w:val="false"/>
          <w:i w:val="false"/>
          <w:color w:val="000000"/>
          <w:sz w:val="24"/>
        </w:rPr>
        <w:t> </w:t>
      </w:r>
      <w:r>
        <w:rPr>
          <w:rFonts w:ascii="Times New Roman" w:hAnsi="Times New Roman"/>
          <w:b w:val="false"/>
          <w:i/>
          <w:color w:val="000000"/>
          <w:sz w:val="24"/>
        </w:rPr>
        <w:t xml:space="preserve">Department not bound. </w:t>
      </w:r>
      <w:r>
        <w:rPr>
          <w:rFonts w:ascii="Times New Roman" w:hAnsi="Times New Roman"/>
          <w:b w:val="false"/>
          <w:i w:val="false"/>
          <w:color w:val="000000"/>
          <w:sz w:val="24"/>
        </w:rPr>
        <w:t>The department will consider the recommendation of the team in a specific child abuse case but will not, in any way, be bound by the recommendation.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175.17(4)</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provisions. </w:t>
      </w:r>
      <w:r>
        <w:rPr>
          <w:rFonts w:ascii="Times New Roman" w:hAnsi="Times New Roman"/>
          <w:b w:val="false"/>
          <w:i w:val="false"/>
          <w:color w:val="000000"/>
          <w:sz w:val="24"/>
        </w:rPr>
        <w:t xml:space="preserve">Any written report or document produced by the team pertaining to an assessment case shall be made a part of the file for the case and shall be subject to all confidentiality provisions unless the child abuse assessment results in placement on the central abuse registry, in which case the written report or document shall be subject to all confidentiality provisions of Iowa Code chapter </w:t>
      </w:r>
      <w:hyperlink r:id="rId43">
        <w:r>
          <w:rPr>
            <w:rStyle w:val="Hyperlink"/>
            <w:rFonts w:ascii="Times New Roman" w:hAnsi="Times New Roman"/>
            <w:b w:val="false"/>
            <w:i w:val="false"/>
            <w:color w:val="000000"/>
            <w:sz w:val="24"/>
          </w:rPr>
          <w:t>235A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175.17(5)</w:t>
      </w:r>
      <w:r>
        <w:rPr>
          <w:rFonts w:ascii="Times New Roman" w:hAnsi="Times New Roman"/>
          <w:b w:val="false"/>
          <w:i w:val="false"/>
          <w:color w:val="000000"/>
          <w:sz w:val="24"/>
        </w:rPr>
        <w:t> </w:t>
      </w:r>
      <w:r>
        <w:rPr>
          <w:rFonts w:ascii="Times New Roman" w:hAnsi="Times New Roman"/>
          <w:b w:val="false"/>
          <w:i/>
          <w:color w:val="000000"/>
          <w:sz w:val="24"/>
        </w:rPr>
        <w:t xml:space="preserve">Written records. </w:t>
      </w:r>
      <w:r>
        <w:rPr>
          <w:rFonts w:ascii="Times New Roman" w:hAnsi="Times New Roman"/>
          <w:b w:val="false"/>
          <w:i w:val="false"/>
          <w:color w:val="000000"/>
          <w:sz w:val="24"/>
        </w:rPr>
        <w:t>Any written records maintained by the team that identify an individual child abuse assessment case shall be destroyed when the agreement lapses.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175.17(6)</w:t>
      </w:r>
      <w:r>
        <w:rPr>
          <w:rFonts w:ascii="Times New Roman" w:hAnsi="Times New Roman"/>
          <w:b w:val="false"/>
          <w:i w:val="false"/>
          <w:color w:val="000000"/>
          <w:sz w:val="24"/>
        </w:rPr>
        <w:t> </w:t>
      </w:r>
      <w:r>
        <w:rPr>
          <w:rFonts w:ascii="Times New Roman" w:hAnsi="Times New Roman"/>
          <w:b w:val="false"/>
          <w:i/>
          <w:color w:val="000000"/>
          <w:sz w:val="24"/>
        </w:rPr>
        <w:t xml:space="preserve">Compensation. </w:t>
      </w:r>
      <w:r>
        <w:rPr>
          <w:rFonts w:ascii="Times New Roman" w:hAnsi="Times New Roman"/>
          <w:b w:val="false"/>
          <w:i w:val="false"/>
          <w:color w:val="000000"/>
          <w:sz w:val="24"/>
        </w:rPr>
        <w:t>Consultation team members shall serve without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175.17(7)</w:t>
      </w:r>
      <w:r>
        <w:rPr>
          <w:rFonts w:ascii="Times New Roman" w:hAnsi="Times New Roman"/>
          <w:b w:val="false"/>
          <w:i w:val="false"/>
          <w:color w:val="000000"/>
          <w:sz w:val="24"/>
        </w:rPr>
        <w:t> </w:t>
      </w:r>
      <w:r>
        <w:rPr>
          <w:rFonts w:ascii="Times New Roman" w:hAnsi="Times New Roman"/>
          <w:b w:val="false"/>
          <w:i/>
          <w:color w:val="000000"/>
          <w:sz w:val="24"/>
        </w:rPr>
        <w:t xml:space="preserve">Withdrawal from contract. </w:t>
      </w:r>
      <w:r>
        <w:rPr>
          <w:rFonts w:ascii="Times New Roman" w:hAnsi="Times New Roman"/>
          <w:b w:val="false"/>
          <w:i w:val="false"/>
          <w:color w:val="000000"/>
          <w:sz w:val="24"/>
        </w:rPr>
        <w:t>Any party to the agreement may withdraw with or without cause upon the giving of 30 days’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175.17(8)</w:t>
      </w:r>
      <w:r>
        <w:rPr>
          <w:rFonts w:ascii="Times New Roman" w:hAnsi="Times New Roman"/>
          <w:b w:val="false"/>
          <w:i w:val="false"/>
          <w:color w:val="000000"/>
          <w:sz w:val="24"/>
        </w:rPr>
        <w:t> </w:t>
      </w:r>
      <w:r>
        <w:rPr>
          <w:rFonts w:ascii="Times New Roman" w:hAnsi="Times New Roman"/>
          <w:b w:val="false"/>
          <w:i/>
          <w:color w:val="000000"/>
          <w:sz w:val="24"/>
        </w:rPr>
        <w:t xml:space="preserve">Expiration date. </w:t>
      </w:r>
      <w:r>
        <w:rPr>
          <w:rFonts w:ascii="Times New Roman" w:hAnsi="Times New Roman"/>
          <w:b w:val="false"/>
          <w:i w:val="false"/>
          <w:color w:val="000000"/>
          <w:sz w:val="24"/>
        </w:rPr>
        <w:t>The date on which the agreement will expire shall be included.</w:t>
      </w:r>
    </w:p>
    <w:p>
      <w:pPr>
        <w:spacing w:before="210" w:after="0" w:line="480"/>
        <w:ind w:left="120"/>
        <w:jc w:val="both"/>
      </w:pPr>
      <w:r>
        <w:rPr>
          <w:rFonts w:ascii="Times New Roman" w:hAnsi="Times New Roman"/>
          <w:b/>
          <w:i w:val="false"/>
          <w:color w:val="000000"/>
          <w:sz w:val="24"/>
        </w:rPr>
        <w:t>441—175.18</w:t>
      </w:r>
      <w:r>
        <w:rPr>
          <w:rFonts w:ascii="Times New Roman" w:hAnsi="Times New Roman"/>
          <w:b/>
          <w:i w:val="false"/>
          <w:color w:val="000000"/>
          <w:sz w:val="24"/>
        </w:rPr>
        <w:t xml:space="preserve">(232) </w:t>
      </w:r>
      <w:r>
        <w:rPr>
          <w:rFonts w:ascii="Times New Roman" w:hAnsi="Times New Roman"/>
          <w:b/>
          <w:i w:val="false"/>
          <w:color w:val="000000"/>
          <w:sz w:val="24"/>
        </w:rPr>
        <w:t xml:space="preserve">Publicity, education, and training. </w:t>
      </w:r>
      <w:r>
        <w:rPr>
          <w:rFonts w:ascii="Times New Roman" w:hAnsi="Times New Roman"/>
          <w:b w:val="false"/>
          <w:i w:val="false"/>
          <w:color w:val="000000"/>
          <w:sz w:val="24"/>
        </w:rPr>
        <w:t xml:space="preserve">The department will conduct publicity, education, and training pursuant to Iowa Code section </w:t>
      </w:r>
      <w:hyperlink r:id="rId44">
        <w:r>
          <w:rPr>
            <w:rStyle w:val="Hyperlink"/>
            <w:rFonts w:ascii="Times New Roman" w:hAnsi="Times New Roman"/>
            <w:b w:val="false"/>
            <w:i w:val="false"/>
            <w:color w:val="000000"/>
            <w:sz w:val="24"/>
          </w:rPr>
          <w:t>232.76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441—175.19</w:t>
      </w:r>
      <w:r>
        <w:rPr>
          <w:rFonts w:ascii="Times New Roman" w:hAnsi="Times New Roman"/>
          <w:b/>
          <w:i w:val="false"/>
          <w:color w:val="000000"/>
          <w:sz w:val="24"/>
        </w:rPr>
        <w:t xml:space="preserve">(235) </w:t>
      </w:r>
      <w:r>
        <w:rPr>
          <w:rFonts w:ascii="Times New Roman" w:hAnsi="Times New Roman"/>
          <w:b/>
          <w:i w:val="false"/>
          <w:color w:val="000000"/>
          <w:sz w:val="24"/>
        </w:rPr>
        <w:t xml:space="preserve">Written authorizations. </w:t>
      </w:r>
      <w:r>
        <w:rPr>
          <w:rFonts w:ascii="Times New Roman" w:hAnsi="Times New Roman"/>
          <w:b w:val="false"/>
          <w:i w:val="false"/>
          <w:color w:val="000000"/>
          <w:sz w:val="24"/>
        </w:rPr>
        <w:t>Requests for information from members of the general public as to whether a person is named on the central abuse registry as having abused a child shall be submitted on the Authorization for Release of Child Abuse Information form to the county office of the department or the central abuse registry. The form shall be completed and signed by the person requesting the information and the person authorizing the check for the release of child abuse information.</w:t>
      </w:r>
    </w:p>
    <w:p>
      <w:pPr>
        <w:spacing w:before="0" w:after="0" w:line="480"/>
        <w:ind w:left="120"/>
        <w:jc w:val="both"/>
      </w:pPr>
      <w:r>
        <w:rPr>
          <w:rFonts w:ascii="Times New Roman" w:hAnsi="Times New Roman"/>
          <w:b/>
          <w:i w:val="false"/>
          <w:color w:val="000000"/>
          <w:sz w:val="24"/>
        </w:rPr>
        <w:t>441—175.20</w:t>
      </w:r>
      <w:r>
        <w:rPr>
          <w:rFonts w:ascii="Times New Roman" w:hAnsi="Times New Roman"/>
          <w:b/>
          <w:i w:val="false"/>
          <w:color w:val="000000"/>
          <w:sz w:val="24"/>
        </w:rPr>
        <w:t xml:space="preserve">(232) </w:t>
      </w:r>
      <w:r>
        <w:rPr>
          <w:rFonts w:ascii="Times New Roman" w:hAnsi="Times New Roman"/>
          <w:b/>
          <w:i w:val="false"/>
          <w:color w:val="000000"/>
          <w:sz w:val="24"/>
        </w:rPr>
        <w:t xml:space="preserve">Founded child abuse. </w:t>
      </w:r>
      <w:r>
        <w:rPr>
          <w:rFonts w:ascii="Times New Roman" w:hAnsi="Times New Roman"/>
          <w:b w:val="false"/>
          <w:i w:val="false"/>
          <w:color w:val="000000"/>
          <w:sz w:val="24"/>
        </w:rPr>
        <w:t xml:space="preserve">Reports of child abuse where abuse has been confirmed will be placed on the central abuse registry as founded child abuse for either five or ten years under any of the circumstances specified by Iowa Code section </w:t>
      </w:r>
      <w:hyperlink r:id="rId45">
        <w:r>
          <w:rPr>
            <w:rStyle w:val="Hyperlink"/>
            <w:rFonts w:ascii="Times New Roman" w:hAnsi="Times New Roman"/>
            <w:b w:val="false"/>
            <w:i w:val="false"/>
            <w:color w:val="000000"/>
            <w:sz w:val="24"/>
          </w:rPr>
          <w:t>232.71D</w:t>
        </w:r>
      </w:hyperlink>
      <w:r>
        <w:rPr>
          <w:rFonts w:ascii="Times New Roman" w:hAnsi="Times New Roman"/>
          <w:b w:val="false"/>
          <w:i w:val="false"/>
          <w:color w:val="000000"/>
          <w:sz w:val="24"/>
        </w:rPr>
        <w:t xml:space="preserve">. When none of the placement criteria listed in Iowa Code section </w:t>
      </w:r>
      <w:hyperlink r:id="rId46">
        <w:r>
          <w:rPr>
            <w:rStyle w:val="Hyperlink"/>
            <w:rFonts w:ascii="Times New Roman" w:hAnsi="Times New Roman"/>
            <w:b w:val="false"/>
            <w:i w:val="false"/>
            <w:color w:val="000000"/>
            <w:sz w:val="24"/>
          </w:rPr>
          <w:t>232.71D(3)</w:t>
        </w:r>
      </w:hyperlink>
      <w:r>
        <w:rPr>
          <w:rFonts w:ascii="Times New Roman" w:hAnsi="Times New Roman"/>
          <w:b w:val="false"/>
          <w:i/>
          <w:color w:val="000000"/>
          <w:sz w:val="24"/>
        </w:rPr>
        <w:t>“b”</w:t>
      </w:r>
      <w:r>
        <w:rPr>
          <w:rFonts w:ascii="Times New Roman" w:hAnsi="Times New Roman"/>
          <w:b w:val="false"/>
          <w:i w:val="false"/>
          <w:color w:val="000000"/>
          <w:sz w:val="24"/>
        </w:rPr>
        <w:t xml:space="preserve"> are applicable, reports of denial of critical care by failure to provide adequate clothing or failure to provide adequate supervision and physical abuse where abuse has been confirmed and determined to be minor, isolated, and unlikely to reoccur will not be placed on the central abuse registry as a case of founded child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175.20(1)</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of founded child abuse report and data. </w:t>
      </w:r>
      <w:r>
        <w:rPr>
          <w:rFonts w:ascii="Times New Roman" w:hAnsi="Times New Roman"/>
          <w:b w:val="false"/>
          <w:i w:val="false"/>
          <w:color w:val="000000"/>
          <w:sz w:val="24"/>
        </w:rPr>
        <w:t xml:space="preserve">The confidentiality of report and disposition data pertaining to founded child abuse will be maintained as provided in Iowa Code chapter </w:t>
      </w:r>
      <w:hyperlink r:id="rId47">
        <w:r>
          <w:rPr>
            <w:rStyle w:val="Hyperlink"/>
            <w:rFonts w:ascii="Times New Roman" w:hAnsi="Times New Roman"/>
            <w:b w:val="false"/>
            <w:i w:val="false"/>
            <w:color w:val="000000"/>
            <w:sz w:val="24"/>
          </w:rPr>
          <w:t>235A</w:t>
        </w:r>
      </w:hyperlink>
      <w:r>
        <w:rPr>
          <w:rFonts w:ascii="Times New Roman" w:hAnsi="Times New Roman"/>
          <w:b w:val="false"/>
          <w:i w:val="false"/>
          <w:color w:val="000000"/>
          <w:sz w:val="24"/>
        </w:rPr>
        <w:t xml:space="preserve">. Access to the report and disposition data on founded child abuse is authorized only as provided in Iowa Code section </w:t>
      </w:r>
      <w:hyperlink r:id="rId48">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175.20(2)</w:t>
      </w:r>
      <w:r>
        <w:rPr>
          <w:rFonts w:ascii="Times New Roman" w:hAnsi="Times New Roman"/>
          <w:b w:val="false"/>
          <w:i w:val="false"/>
          <w:color w:val="000000"/>
          <w:sz w:val="24"/>
        </w:rPr>
        <w:t> </w:t>
      </w:r>
      <w:r>
        <w:rPr>
          <w:rFonts w:ascii="Times New Roman" w:hAnsi="Times New Roman"/>
          <w:b w:val="false"/>
          <w:i/>
          <w:color w:val="000000"/>
          <w:sz w:val="24"/>
        </w:rPr>
        <w:t xml:space="preserve">Sealing and expungement of founded child abuse report and data. </w:t>
      </w:r>
      <w:r>
        <w:rPr>
          <w:rFonts w:ascii="Times New Roman" w:hAnsi="Times New Roman"/>
          <w:b w:val="false"/>
          <w:i w:val="false"/>
          <w:color w:val="000000"/>
          <w:sz w:val="24"/>
        </w:rPr>
        <w:t xml:space="preserve">Report and disposition data pertaining to founded child abuse will be sealed and expunged as provided in Iowa Code section </w:t>
      </w:r>
      <w:hyperlink r:id="rId49">
        <w:r>
          <w:rPr>
            <w:rStyle w:val="Hyperlink"/>
            <w:rFonts w:ascii="Times New Roman" w:hAnsi="Times New Roman"/>
            <w:b w:val="false"/>
            <w:i w:val="false"/>
            <w:color w:val="000000"/>
            <w:sz w:val="24"/>
          </w:rPr>
          <w:t>235A.18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441—175.21</w:t>
      </w:r>
      <w:r>
        <w:rPr>
          <w:rFonts w:ascii="Times New Roman" w:hAnsi="Times New Roman"/>
          <w:b/>
          <w:i w:val="false"/>
          <w:color w:val="000000"/>
          <w:sz w:val="24"/>
        </w:rPr>
        <w:t xml:space="preserve">(235A) </w:t>
      </w:r>
      <w:r>
        <w:rPr>
          <w:rFonts w:ascii="Times New Roman" w:hAnsi="Times New Roman"/>
          <w:b/>
          <w:i w:val="false"/>
          <w:color w:val="000000"/>
          <w:sz w:val="24"/>
        </w:rPr>
        <w:t xml:space="preserve">Access to child abuse information. </w:t>
      </w:r>
      <w:r>
        <w:rPr>
          <w:rFonts w:ascii="Times New Roman" w:hAnsi="Times New Roman"/>
          <w:b w:val="false"/>
          <w:i w:val="false"/>
          <w:color w:val="000000"/>
          <w:sz w:val="24"/>
        </w:rPr>
        <w:t>Requests for child abuse information shall include sufficient information to demonstrate that the requesting party has authorized access to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175.21(1)</w:t>
      </w:r>
      <w:r>
        <w:rPr>
          <w:rFonts w:ascii="Times New Roman" w:hAnsi="Times New Roman"/>
          <w:b w:val="false"/>
          <w:i w:val="false"/>
          <w:color w:val="000000"/>
          <w:sz w:val="24"/>
        </w:rPr>
        <w:t> </w:t>
      </w:r>
      <w:r>
        <w:rPr>
          <w:rFonts w:ascii="Times New Roman" w:hAnsi="Times New Roman"/>
          <w:b w:val="false"/>
          <w:i/>
          <w:color w:val="000000"/>
          <w:sz w:val="24"/>
        </w:rPr>
        <w:t xml:space="preserve">Written requests. </w:t>
      </w:r>
      <w:r>
        <w:rPr>
          <w:rFonts w:ascii="Times New Roman" w:hAnsi="Times New Roman"/>
          <w:b w:val="false"/>
          <w:i w:val="false"/>
          <w:color w:val="000000"/>
          <w:sz w:val="24"/>
        </w:rPr>
        <w:t>Requests for child abuse information shall be submitted on a Request for Child Abuse Information form to the county office of the department. Requests made for the purpose of determining employability of a person in a department-operated facility will be submitted to the central abuse registry. Subjects of a report may submit a request for child abuse information to the county office of the department on a Request for Child Abuse Information form, a Notice of Child Abuse Assessment: Founded form, a Notice of Child Abuse Assessment: Confirmed Not Registered form, a Notice of Child Abuse Assessment: Not Confirmed form, or a Family Assessment Report form. The county office is granted permission to release child abuse information to the subject of a report immediately upon verification of the identity and subject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175.21(2)</w:t>
      </w:r>
      <w:r>
        <w:rPr>
          <w:rFonts w:ascii="Times New Roman" w:hAnsi="Times New Roman"/>
          <w:b w:val="false"/>
          <w:i w:val="false"/>
          <w:color w:val="000000"/>
          <w:sz w:val="24"/>
        </w:rPr>
        <w:t> </w:t>
      </w:r>
      <w:r>
        <w:rPr>
          <w:rFonts w:ascii="Times New Roman" w:hAnsi="Times New Roman"/>
          <w:b w:val="false"/>
          <w:i/>
          <w:color w:val="000000"/>
          <w:sz w:val="24"/>
        </w:rPr>
        <w:t xml:space="preserve">Oral requests. </w:t>
      </w:r>
      <w:r>
        <w:rPr>
          <w:rFonts w:ascii="Times New Roman" w:hAnsi="Times New Roman"/>
          <w:b w:val="false"/>
          <w:i w:val="false"/>
          <w:color w:val="000000"/>
          <w:sz w:val="24"/>
        </w:rPr>
        <w:t xml:space="preserve">Oral requests for child abuse information may be made when a person making the request believes that the information is needed immediately and if the person is authorized to access the information. When an oral request to obtain child abuse information is granted, the person approving the request will document the approval to the central abuse registry through use of a Request for Child Abuse Information form or a Notice of Child Abuse Assessment: Founded form. Upon approval of any request for child abuse information authorized by this rule, the department will withhold the name of the person who made the report of child abuse unless ordered by a juvenile court or district court after a finding that the person’s name is needed to resolve an issue in any phase of a case involving child abuse. Written requests and oral requests do not apply to child abuse information that is disseminated to an employee of the department, to a juvenile court, or to the attorney representing the department as authorized by Iowa Code section </w:t>
      </w:r>
      <w:hyperlink r:id="rId50">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175.21(3)</w:t>
      </w:r>
      <w:r>
        <w:rPr>
          <w:rFonts w:ascii="Times New Roman" w:hAnsi="Times New Roman"/>
          <w:b w:val="false"/>
          <w:i w:val="false"/>
          <w:color w:val="000000"/>
          <w:sz w:val="24"/>
        </w:rPr>
        <w:t> </w:t>
      </w:r>
      <w:r>
        <w:rPr>
          <w:rFonts w:ascii="Times New Roman" w:hAnsi="Times New Roman"/>
          <w:b w:val="false"/>
          <w:i/>
          <w:color w:val="000000"/>
          <w:sz w:val="24"/>
        </w:rPr>
        <w:t xml:space="preserve">Written authorizations. </w:t>
      </w:r>
      <w:r>
        <w:rPr>
          <w:rFonts w:ascii="Times New Roman" w:hAnsi="Times New Roman"/>
          <w:b w:val="false"/>
          <w:i w:val="false"/>
          <w:color w:val="000000"/>
          <w:sz w:val="24"/>
        </w:rPr>
        <w:t>Requests for information from members of the general public as to whether a person is named on the central abuse registry as having abused a child shall be submitted on an Authorization for Release of Child Abuse Information form to the county office of the department or the central abuse registry. The form shall be completed and signed by the person requesting the information and the person authorizing the check for the release of child abuse information. The department will not provide requested information when the authorization form is incomplete. Incomplete authorization forms are returned to the requester.</w:t>
      </w:r>
    </w:p>
    <w:p>
      <w:pPr>
        <w:spacing w:before="210" w:after="0" w:line="480"/>
        <w:ind w:left="120"/>
        <w:jc w:val="both"/>
      </w:pPr>
      <w:r>
        <w:rPr>
          <w:rFonts w:ascii="Times New Roman" w:hAnsi="Times New Roman"/>
          <w:b/>
          <w:i w:val="false"/>
          <w:color w:val="000000"/>
          <w:sz w:val="24"/>
        </w:rPr>
        <w:t>441—175.22</w:t>
      </w:r>
      <w:r>
        <w:rPr>
          <w:rFonts w:ascii="Times New Roman" w:hAnsi="Times New Roman"/>
          <w:b/>
          <w:i w:val="false"/>
          <w:color w:val="000000"/>
          <w:sz w:val="24"/>
        </w:rPr>
        <w:t xml:space="preserve">(235A) </w:t>
      </w:r>
      <w:r>
        <w:rPr>
          <w:rFonts w:ascii="Times New Roman" w:hAnsi="Times New Roman"/>
          <w:b/>
          <w:i w:val="false"/>
          <w:color w:val="000000"/>
          <w:sz w:val="24"/>
        </w:rPr>
        <w:t xml:space="preserve">Research. </w:t>
      </w:r>
      <w:r>
        <w:rPr>
          <w:rFonts w:ascii="Times New Roman" w:hAnsi="Times New Roman"/>
          <w:b w:val="false"/>
          <w:i w:val="false"/>
          <w:color w:val="000000"/>
          <w:sz w:val="24"/>
        </w:rPr>
        <w:t xml:space="preserve">Access to child abuse information for bona fide research purposes is governed by Iowa Code section </w:t>
      </w:r>
      <w:hyperlink r:id="rId51">
        <w:r>
          <w:rPr>
            <w:rStyle w:val="Hyperlink"/>
            <w:rFonts w:ascii="Times New Roman" w:hAnsi="Times New Roman"/>
            <w:b w:val="false"/>
            <w:i w:val="false"/>
            <w:color w:val="000000"/>
            <w:sz w:val="24"/>
          </w:rPr>
          <w:t>235A.15</w:t>
        </w:r>
      </w:hyperlink>
      <w:r>
        <w:rPr>
          <w:rFonts w:ascii="Times New Roman" w:hAnsi="Times New Roman"/>
          <w:b w:val="false"/>
          <w:i w:val="false"/>
          <w:color w:val="000000"/>
          <w:sz w:val="24"/>
        </w:rPr>
        <w:t xml:space="preserve"> and the fair information practice standards of </w:t>
      </w:r>
      <w:hyperlink r:id="rId52">
        <w:r>
          <w:rPr>
            <w:rStyle w:val="Hyperlink"/>
            <w:rFonts w:ascii="Times New Roman" w:hAnsi="Times New Roman"/>
            <w:b w:val="false"/>
            <w:i w:val="false"/>
            <w:color w:val="000000"/>
            <w:sz w:val="24"/>
          </w:rPr>
          <w:t>441—Chapter 2505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441—175.23</w:t>
      </w:r>
      <w:r>
        <w:rPr>
          <w:rFonts w:ascii="Times New Roman" w:hAnsi="Times New Roman"/>
          <w:b/>
          <w:i w:val="false"/>
          <w:color w:val="000000"/>
          <w:sz w:val="24"/>
        </w:rPr>
        <w:t xml:space="preserve">(235A) </w:t>
      </w:r>
      <w:r>
        <w:rPr>
          <w:rFonts w:ascii="Times New Roman" w:hAnsi="Times New Roman"/>
          <w:b/>
          <w:i w:val="false"/>
          <w:color w:val="000000"/>
          <w:sz w:val="24"/>
        </w:rPr>
        <w:t xml:space="preserve">Citizen review panels. </w:t>
      </w:r>
      <w:r>
        <w:rPr>
          <w:rFonts w:ascii="Times New Roman" w:hAnsi="Times New Roman"/>
          <w:b w:val="false"/>
          <w:i w:val="false"/>
          <w:color w:val="000000"/>
          <w:sz w:val="24"/>
        </w:rPr>
        <w:t>The department will convene child protection services citizen review panels as set forth in the federal Child Abuse Prevention and Treatment Act as amended to August 1, 2026.</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53">
        <w:r>
          <w:rPr>
            <w:rStyle w:val="Hyperlink"/>
            <w:rFonts w:ascii="Times New Roman" w:hAnsi="Times New Roman"/>
            <w:b w:val="false"/>
            <w:i w:val="false"/>
            <w:color w:val="000000"/>
            <w:sz w:val="24"/>
          </w:rPr>
          <w:t>232.67</w:t>
        </w:r>
      </w:hyperlink>
      <w:r>
        <w:rPr>
          <w:rFonts w:ascii="Times New Roman" w:hAnsi="Times New Roman"/>
          <w:b w:val="false"/>
          <w:i w:val="false"/>
          <w:color w:val="000000"/>
          <w:sz w:val="24"/>
        </w:rPr>
        <w:t xml:space="preserve"> through </w:t>
      </w:r>
      <w:hyperlink r:id="rId54">
        <w:r>
          <w:rPr>
            <w:rStyle w:val="Hyperlink"/>
            <w:rFonts w:ascii="Times New Roman" w:hAnsi="Times New Roman"/>
            <w:b w:val="false"/>
            <w:i w:val="false"/>
            <w:color w:val="000000"/>
            <w:sz w:val="24"/>
          </w:rPr>
          <w:t>232.70</w:t>
        </w:r>
      </w:hyperlink>
      <w:r>
        <w:rPr>
          <w:rFonts w:ascii="Times New Roman" w:hAnsi="Times New Roman"/>
          <w:b w:val="false"/>
          <w:i w:val="false"/>
          <w:color w:val="000000"/>
          <w:sz w:val="24"/>
        </w:rPr>
        <w:t xml:space="preserve">, </w:t>
      </w:r>
      <w:hyperlink r:id="rId55">
        <w:r>
          <w:rPr>
            <w:rStyle w:val="Hyperlink"/>
            <w:rFonts w:ascii="Times New Roman" w:hAnsi="Times New Roman"/>
            <w:b w:val="false"/>
            <w:i w:val="false"/>
            <w:color w:val="000000"/>
            <w:sz w:val="24"/>
          </w:rPr>
          <w:t>232.71B</w:t>
        </w:r>
      </w:hyperlink>
      <w:r>
        <w:rPr>
          <w:rFonts w:ascii="Times New Roman" w:hAnsi="Times New Roman"/>
          <w:b w:val="false"/>
          <w:i w:val="false"/>
          <w:color w:val="000000"/>
          <w:sz w:val="24"/>
        </w:rPr>
        <w:t xml:space="preserve">, </w:t>
      </w:r>
      <w:hyperlink r:id="rId56">
        <w:r>
          <w:rPr>
            <w:rStyle w:val="Hyperlink"/>
            <w:rFonts w:ascii="Times New Roman" w:hAnsi="Times New Roman"/>
            <w:b w:val="false"/>
            <w:i w:val="false"/>
            <w:color w:val="000000"/>
            <w:sz w:val="24"/>
          </w:rPr>
          <w:t>232.71C</w:t>
        </w:r>
      </w:hyperlink>
      <w:r>
        <w:rPr>
          <w:rFonts w:ascii="Times New Roman" w:hAnsi="Times New Roman"/>
          <w:b w:val="false"/>
          <w:i w:val="false"/>
          <w:color w:val="000000"/>
          <w:sz w:val="24"/>
        </w:rPr>
        <w:t xml:space="preserve">, </w:t>
      </w:r>
      <w:hyperlink r:id="rId57">
        <w:r>
          <w:rPr>
            <w:rStyle w:val="Hyperlink"/>
            <w:rFonts w:ascii="Times New Roman" w:hAnsi="Times New Roman"/>
            <w:b w:val="false"/>
            <w:i w:val="false"/>
            <w:color w:val="000000"/>
            <w:sz w:val="24"/>
          </w:rPr>
          <w:t>232.71D</w:t>
        </w:r>
      </w:hyperlink>
      <w:r>
        <w:rPr>
          <w:rFonts w:ascii="Times New Roman" w:hAnsi="Times New Roman"/>
          <w:b w:val="false"/>
          <w:i w:val="false"/>
          <w:color w:val="000000"/>
          <w:sz w:val="24"/>
        </w:rPr>
        <w:t xml:space="preserve">, </w:t>
      </w:r>
      <w:hyperlink r:id="rId58">
        <w:r>
          <w:rPr>
            <w:rStyle w:val="Hyperlink"/>
            <w:rFonts w:ascii="Times New Roman" w:hAnsi="Times New Roman"/>
            <w:b w:val="false"/>
            <w:i w:val="false"/>
            <w:color w:val="000000"/>
            <w:sz w:val="24"/>
          </w:rPr>
          <w:t>232.72</w:t>
        </w:r>
      </w:hyperlink>
      <w:r>
        <w:rPr>
          <w:rFonts w:ascii="Times New Roman" w:hAnsi="Times New Roman"/>
          <w:b w:val="false"/>
          <w:i w:val="false"/>
          <w:color w:val="000000"/>
          <w:sz w:val="24"/>
        </w:rPr>
        <w:t xml:space="preserve"> through </w:t>
      </w:r>
      <w:hyperlink r:id="rId59">
        <w:r>
          <w:rPr>
            <w:rStyle w:val="Hyperlink"/>
            <w:rFonts w:ascii="Times New Roman" w:hAnsi="Times New Roman"/>
            <w:b w:val="false"/>
            <w:i w:val="false"/>
            <w:color w:val="000000"/>
            <w:sz w:val="24"/>
          </w:rPr>
          <w:t>232.77</w:t>
        </w:r>
      </w:hyperlink>
      <w:r>
        <w:rPr>
          <w:rFonts w:ascii="Times New Roman" w:hAnsi="Times New Roman"/>
          <w:b w:val="false"/>
          <w:i w:val="false"/>
          <w:color w:val="000000"/>
          <w:sz w:val="24"/>
        </w:rPr>
        <w:t xml:space="preserve">, and </w:t>
      </w:r>
      <w:hyperlink r:id="rId60">
        <w:r>
          <w:rPr>
            <w:rStyle w:val="Hyperlink"/>
            <w:rFonts w:ascii="Times New Roman" w:hAnsi="Times New Roman"/>
            <w:b w:val="false"/>
            <w:i w:val="false"/>
            <w:color w:val="000000"/>
            <w:sz w:val="24"/>
          </w:rPr>
          <w:t>232.79B</w:t>
        </w:r>
      </w:hyperlink>
      <w:r>
        <w:rPr>
          <w:rFonts w:ascii="Times New Roman" w:hAnsi="Times New Roman"/>
          <w:b w:val="false"/>
          <w:i w:val="false"/>
          <w:color w:val="000000"/>
          <w:sz w:val="24"/>
        </w:rPr>
        <w:t xml:space="preserve"> and chapter </w:t>
      </w:r>
      <w:hyperlink r:id="rId61">
        <w:r>
          <w:rPr>
            <w:rStyle w:val="Hyperlink"/>
            <w:rFonts w:ascii="Times New Roman" w:hAnsi="Times New Roman"/>
            <w:b w:val="false"/>
            <w:i w:val="false"/>
            <w:color w:val="000000"/>
            <w:sz w:val="24"/>
          </w:rPr>
          <w:t>235A</w:t>
        </w:r>
      </w:hyperlink>
      <w:r>
        <w:rPr>
          <w:rFonts w:ascii="Times New Roman" w:hAnsi="Times New Roman"/>
          <w:b w:val="false"/>
          <w:i w:val="false"/>
          <w:color w:val="000000"/>
          <w:sz w:val="24"/>
        </w:rPr>
        <w:t>.</w:t>
      </w:r>
    </w:p>
    <w:sectPr>
      <w:footerReference r:id="rId6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2.68.pdf" Type="http://schemas.openxmlformats.org/officeDocument/2006/relationships/hyperlink" Id="rId5"/>
    <Relationship TargetMode="External" Target="https://www.legis.iowa.gov/docs/ico/chapter/232.68.pdf" Type="http://schemas.openxmlformats.org/officeDocument/2006/relationships/hyperlink" Id="rId6"/>
    <Relationship TargetMode="External" Target="https://www.legis.iowa.gov/docs/ico/chapter/232.68.pdf" Type="http://schemas.openxmlformats.org/officeDocument/2006/relationships/hyperlink" Id="rId7"/>
    <Relationship TargetMode="External" Target="https://www.legis.iowa.gov/docs/ico/chapter/232.79B.pdf" Type="http://schemas.openxmlformats.org/officeDocument/2006/relationships/hyperlink" Id="rId8"/>
    <Relationship TargetMode="External" Target="https://www.legis.iowa.gov/docs/ico/chapter/232.68.pdf" Type="http://schemas.openxmlformats.org/officeDocument/2006/relationships/hyperlink" Id="rId9"/>
    <Relationship TargetMode="External" Target="https://www.legis.iowa.gov/docs/ico/chapter/232.68.pdf" Type="http://schemas.openxmlformats.org/officeDocument/2006/relationships/hyperlink" Id="rId10"/>
    <Relationship TargetMode="External" Target="https://www.legis.iowa.gov/docs/ico/chapter/232.68.pdf" Type="http://schemas.openxmlformats.org/officeDocument/2006/relationships/hyperlink" Id="rId11"/>
    <Relationship TargetMode="External" Target="https://www.legis.iowa.gov/docs/ico/chapter/232.2.pdf" Type="http://schemas.openxmlformats.org/officeDocument/2006/relationships/hyperlink" Id="rId12"/>
    <Relationship TargetMode="External" Target="https://www.legis.iowa.gov/docs/ico/chapter/232.68.pdf" Type="http://schemas.openxmlformats.org/officeDocument/2006/relationships/hyperlink" Id="rId13"/>
    <Relationship TargetMode="External" Target="https://www.legis.iowa.gov/docs/ico/chapter/232.68.pdf" Type="http://schemas.openxmlformats.org/officeDocument/2006/relationships/hyperlink" Id="rId14"/>
    <Relationship TargetMode="External" Target="https://www.legis.iowa.gov/docs/ico/chapter/232.68.pdf" Type="http://schemas.openxmlformats.org/officeDocument/2006/relationships/hyperlink" Id="rId15"/>
    <Relationship TargetMode="External" Target="https://www.legis.iowa.gov/docs/ico/chapter/232.68.pdf" Type="http://schemas.openxmlformats.org/officeDocument/2006/relationships/hyperlink" Id="rId16"/>
    <Relationship TargetMode="External" Target="https://www.legis.iowa.gov/docs/ico/chapter/232.68.pdf" Type="http://schemas.openxmlformats.org/officeDocument/2006/relationships/hyperlink" Id="rId17"/>
    <Relationship TargetMode="External" Target="https://www.legis.iowa.gov/docs/ico/chapter/726.pdf" Type="http://schemas.openxmlformats.org/officeDocument/2006/relationships/hyperlink" Id="rId18"/>
    <Relationship TargetMode="External" Target="https://www.legis.iowa.gov/docs/ico/chapter/726.pdf" Type="http://schemas.openxmlformats.org/officeDocument/2006/relationships/hyperlink" Id="rId19"/>
    <Relationship TargetMode="External" Target="https://www.legis.iowa.gov/docs/ico/chapter/232.70.pdf" Type="http://schemas.openxmlformats.org/officeDocument/2006/relationships/hyperlink" Id="rId20"/>
    <Relationship TargetMode="External" Target="https://www.legis.iowa.gov/docs/ico/chapter/232.71B.pdf" Type="http://schemas.openxmlformats.org/officeDocument/2006/relationships/hyperlink" Id="rId21"/>
    <Relationship TargetMode="External" Target="https://www.legis.iowa.gov/docs/ico/chapter/232.71D.pdf" Type="http://schemas.openxmlformats.org/officeDocument/2006/relationships/hyperlink" Id="rId22"/>
    <Relationship TargetMode="External" Target="https://www.legis.iowa.gov/docs/ico/chapter/232.71B.pdf" Type="http://schemas.openxmlformats.org/officeDocument/2006/relationships/hyperlink" Id="rId23"/>
    <Relationship TargetMode="External" Target="https://www.legis.iowa.gov/docs/ico/chapter/232.71C.pdf" Type="http://schemas.openxmlformats.org/officeDocument/2006/relationships/hyperlink" Id="rId24"/>
    <Relationship TargetMode="External" Target="https://www.legis.iowa.gov/docs/ico/chapter/235A.19.pdf" Type="http://schemas.openxmlformats.org/officeDocument/2006/relationships/hyperlink" Id="rId25"/>
    <Relationship TargetMode="External" Target="https://www.legis.iowa.gov/docs/ico/chapter/232.84.pdf" Type="http://schemas.openxmlformats.org/officeDocument/2006/relationships/hyperlink" Id="rId26"/>
    <Relationship TargetMode="External" Target="https://www.legis.iowa.gov/docs/ico/chapter/232.70.pdf" Type="http://schemas.openxmlformats.org/officeDocument/2006/relationships/hyperlink" Id="rId27"/>
    <Relationship TargetMode="External" Target="https://www.legis.iowa.gov/docs/ico/chapter/232.71B.pdf" Type="http://schemas.openxmlformats.org/officeDocument/2006/relationships/hyperlink" Id="rId28"/>
    <Relationship TargetMode="External" Target="https://www.legis.iowa.gov/docs/ico/chapter/235A.15.pdf" Type="http://schemas.openxmlformats.org/officeDocument/2006/relationships/hyperlink" Id="rId29"/>
    <Relationship TargetMode="External" Target="https://www.legis.iowa.gov/docs/ico/chapter/235A.17.pdf" Type="http://schemas.openxmlformats.org/officeDocument/2006/relationships/hyperlink" Id="rId30"/>
    <Relationship TargetMode="External" Target="https://www.legis.iowa.gov/docs/ico/chapter/232.71D.pdf" Type="http://schemas.openxmlformats.org/officeDocument/2006/relationships/hyperlink" Id="rId31"/>
    <Relationship TargetMode="External" Target="https://www.legis.iowa.gov/docs/ico/chapter/232.71D.pdf" Type="http://schemas.openxmlformats.org/officeDocument/2006/relationships/hyperlink" Id="rId32"/>
    <Relationship TargetMode="External" Target="https://www.legis.iowa.gov/docs/ico/chapter/217.30.pdf" Type="http://schemas.openxmlformats.org/officeDocument/2006/relationships/hyperlink" Id="rId33"/>
    <Relationship TargetMode="External" Target="https://www.legis.iowa.gov/docs/ico/chapter/235A.15.pdf" Type="http://schemas.openxmlformats.org/officeDocument/2006/relationships/hyperlink" Id="rId34"/>
    <Relationship TargetMode="External" Target="https://www.legis.iowa.gov/docs/ico/chapter/217.30.pdf" Type="http://schemas.openxmlformats.org/officeDocument/2006/relationships/hyperlink" Id="rId35"/>
    <Relationship TargetMode="External" Target="https://www.legis.iowa.gov/docs/ico/chapter/235A.15.pdf" Type="http://schemas.openxmlformats.org/officeDocument/2006/relationships/hyperlink" Id="rId36"/>
    <Relationship TargetMode="External" Target="https://www.legis.iowa.gov/docs/ico/chapter/217.30.pdf" Type="http://schemas.openxmlformats.org/officeDocument/2006/relationships/hyperlink" Id="rId37"/>
    <Relationship TargetMode="External" Target="https://www.legis.iowa.gov/docs/ico/chapter/235A.15.pdf" Type="http://schemas.openxmlformats.org/officeDocument/2006/relationships/hyperlink" Id="rId38"/>
    <Relationship TargetMode="External" Target="https://www.legis.iowa.gov/docs/ico/chapter/217.30.pdf" Type="http://schemas.openxmlformats.org/officeDocument/2006/relationships/hyperlink" Id="rId39"/>
    <Relationship TargetMode="External" Target="https://www.legis.iowa.gov/docs/ico/chapter/235A.15.pdf" Type="http://schemas.openxmlformats.org/officeDocument/2006/relationships/hyperlink" Id="rId40"/>
    <Relationship TargetMode="External" Target="https://www.legis.iowa.gov/docs/ico/chapter/217.30.pdf" Type="http://schemas.openxmlformats.org/officeDocument/2006/relationships/hyperlink" Id="rId41"/>
    <Relationship TargetMode="External" Target="https://www.legis.iowa.gov/docs/ico/chapter/235A.17.pdf" Type="http://schemas.openxmlformats.org/officeDocument/2006/relationships/hyperlink" Id="rId42"/>
    <Relationship TargetMode="External" Target="https://www.legis.iowa.gov/docs/ico/chapter/235A.pdf" Type="http://schemas.openxmlformats.org/officeDocument/2006/relationships/hyperlink" Id="rId43"/>
    <Relationship TargetMode="External" Target="https://www.legis.iowa.gov/docs/ico/chapter/232.76.pdf" Type="http://schemas.openxmlformats.org/officeDocument/2006/relationships/hyperlink" Id="rId44"/>
    <Relationship TargetMode="External" Target="https://www.legis.iowa.gov/docs/ico/chapter/232.71D.pdf" Type="http://schemas.openxmlformats.org/officeDocument/2006/relationships/hyperlink" Id="rId45"/>
    <Relationship TargetMode="External" Target="https://www.legis.iowa.gov/docs/ico/chapter/232.71D.pdf" Type="http://schemas.openxmlformats.org/officeDocument/2006/relationships/hyperlink" Id="rId46"/>
    <Relationship TargetMode="External" Target="https://www.legis.iowa.gov/docs/ico/chapter/235A.pdf" Type="http://schemas.openxmlformats.org/officeDocument/2006/relationships/hyperlink" Id="rId47"/>
    <Relationship TargetMode="External" Target="https://www.legis.iowa.gov/docs/ico/chapter/235A.15.pdf" Type="http://schemas.openxmlformats.org/officeDocument/2006/relationships/hyperlink" Id="rId48"/>
    <Relationship TargetMode="External" Target="https://www.legis.iowa.gov/docs/ico/chapter/235A.18.pdf" Type="http://schemas.openxmlformats.org/officeDocument/2006/relationships/hyperlink" Id="rId49"/>
    <Relationship TargetMode="External" Target="https://www.legis.iowa.gov/docs/ico/chapter/235A.15.pdf" Type="http://schemas.openxmlformats.org/officeDocument/2006/relationships/hyperlink" Id="rId50"/>
    <Relationship TargetMode="External" Target="https://www.legis.iowa.gov/docs/ico/chapter/235A.15.pdf" Type="http://schemas.openxmlformats.org/officeDocument/2006/relationships/hyperlink" Id="rId51"/>
    <Relationship TargetMode="External" Target="https://www.legis.iowa.gov/docs/iac/chapter/441.2505.pdf" Type="http://schemas.openxmlformats.org/officeDocument/2006/relationships/hyperlink" Id="rId52"/>
    <Relationship TargetMode="External" Target="https://www.legis.iowa.gov/docs/ico/chapter/232.67.pdf" Type="http://schemas.openxmlformats.org/officeDocument/2006/relationships/hyperlink" Id="rId53"/>
    <Relationship TargetMode="External" Target="https://www.legis.iowa.gov/docs/ico/chapter/232.70.pdf" Type="http://schemas.openxmlformats.org/officeDocument/2006/relationships/hyperlink" Id="rId54"/>
    <Relationship TargetMode="External" Target="https://www.legis.iowa.gov/docs/ico/chapter/232.71B.pdf" Type="http://schemas.openxmlformats.org/officeDocument/2006/relationships/hyperlink" Id="rId55"/>
    <Relationship TargetMode="External" Target="https://www.legis.iowa.gov/docs/ico/chapter/232.71C.pdf" Type="http://schemas.openxmlformats.org/officeDocument/2006/relationships/hyperlink" Id="rId56"/>
    <Relationship TargetMode="External" Target="https://www.legis.iowa.gov/docs/ico/chapter/232.71D.pdf" Type="http://schemas.openxmlformats.org/officeDocument/2006/relationships/hyperlink" Id="rId57"/>
    <Relationship TargetMode="External" Target="https://www.legis.iowa.gov/docs/ico/chapter/232.72.pdf" Type="http://schemas.openxmlformats.org/officeDocument/2006/relationships/hyperlink" Id="rId58"/>
    <Relationship TargetMode="External" Target="https://www.legis.iowa.gov/docs/ico/chapter/232.77.pdf" Type="http://schemas.openxmlformats.org/officeDocument/2006/relationships/hyperlink" Id="rId59"/>
    <Relationship TargetMode="External" Target="https://www.legis.iowa.gov/docs/ico/chapter/232.79B.pdf" Type="http://schemas.openxmlformats.org/officeDocument/2006/relationships/hyperlink" Id="rId60"/>
    <Relationship TargetMode="External" Target="https://www.legis.iowa.gov/docs/ico/chapter/235A.pdf" Type="http://schemas.openxmlformats.org/officeDocument/2006/relationships/hyperlink" Id="rId61"/>
    <Relationship Target="footer.xml" Type="http://schemas.openxmlformats.org/officeDocument/2006/relationships/footer"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